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200"/>
        <w:jc w:val="center"/>
      </w:pPr>
      <w:r>
        <w:rPr>
          <w:b/>
          <w:bCs/>
          <w:color w:val="1F4E79"/>
          <w:sz w:val="36"/>
          <w:szCs w:val="36"/>
        </w:rPr>
        <w:t xml:space="preserve">Owner-Operator DOT Drug &amp; Alcohol Mini-Compliance Binder</w:t>
      </w:r>
    </w:p>
    <w:p>
      <w:pPr>
        <w:spacing w:after="80"/>
        <w:jc w:val="center"/>
      </w:pPr>
      <w:r>
        <w:rPr>
          <w:i/>
          <w:iCs/>
          <w:color w:val="595959"/>
          <w:sz w:val="22"/>
          <w:szCs w:val="22"/>
        </w:rPr>
        <w:t xml:space="preserve">Companion to Owner-Operator DOT Drug &amp; Alcohol Compliance Training</w:t>
      </w:r>
    </w:p>
    <w:p>
      <w:pPr>
        <w:spacing w:after="200"/>
        <w:jc w:val="center"/>
      </w:pPr>
      <w:r>
        <w:rPr>
          <w:b/>
          <w:bCs/>
          <w:color w:val="2E75B6"/>
          <w:sz w:val="20"/>
          <w:szCs w:val="20"/>
        </w:rPr>
        <w:t xml:space="preserve">49 CFR Part 40 · Part 382 · §382.305 (random testing) · §382.401 (records)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4E79" w:sz="16"/>
              <w:left w:val="single" w:color="1F4E79" w:sz="16"/>
              <w:bottom w:val="single" w:color="1F4E79" w:sz="16"/>
              <w:right w:val="single" w:color="1F4E79" w:sz="16"/>
            </w:tcBorders>
            <w:shd w:fill="DEEAF6" w:val="clear"/>
            <w:tcMar>
              <w:top w:type="dxa" w:w="200"/>
              <w:left w:type="dxa" w:w="240"/>
              <w:bottom w:type="dxa" w:w="200"/>
              <w:right w:type="dxa" w:w="240"/>
            </w:tcMar>
          </w:tcPr>
          <w:p>
            <w:pPr>
              <w:spacing w:after="120"/>
            </w:pPr>
            <w:r>
              <w:rPr>
                <w:b/>
                <w:bCs/>
                <w:color w:val="1F4E79"/>
              </w:rPr>
              <w:t xml:space="preserve">Why this binder exists. </w:t>
            </w:r>
            <w:r>
              <w:t xml:space="preserve">Owner-operators under their own authority wear every hat: driver, employer, designated employer representative (often through a C/TPA), and recordkeeper. This binder gives you the templates, logs, and checklists to run a compliant single-driver D&amp;A program — without re-inventing them. Use one binder per authority. Update as drivers, equipment, or service agents change.</w:t>
            </w:r>
          </w:p>
        </w:tc>
      </w:tr>
    </w:tbl>
    <w:p>
      <w:pPr>
        <w:spacing w:after="240"/>
      </w:pPr>
      <w:r>
        <w:t xml:space="preserve"/>
      </w:r>
    </w:p>
    <w:p>
      <w:pPr>
        <w:pStyle w:val="Heading1"/>
        <w:spacing w:after="180" w:before="300"/>
      </w:pPr>
      <w:r>
        <w:rPr>
          <w:b/>
          <w:bCs/>
        </w:rPr>
        <w:t xml:space="preserve">Tab 1 — START HERE</w:t>
      </w:r>
    </w:p>
    <w:p>
      <w:pPr>
        <w:spacing w:after="120"/>
      </w:pPr>
      <w:r>
        <w:t xml:space="preserve">Use this page when something happens. Find the situation; go to the right tab; do the steps. When in doubt, call your C/TPA.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00"/>
        <w:gridCol w:w="1500"/>
        <w:gridCol w:w="4360"/>
      </w:tblGrid>
      <w:tr>
        <w:trPr>
          <w:tblHeader/>
        </w:trPr>
        <w:tc>
          <w:tcPr>
            <w:tcW w:type="dxa" w:w="350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If this happens</w:t>
            </w:r>
          </w:p>
        </w:tc>
        <w:tc>
          <w:tcPr>
            <w:tcW w:type="dxa" w:w="150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Tab</w:t>
            </w:r>
          </w:p>
        </w:tc>
        <w:tc>
          <w:tcPr>
            <w:tcW w:type="dxa" w:w="436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What you do</w:t>
            </w:r>
          </w:p>
        </w:tc>
      </w:tr>
      <w:tr>
        <w:tc>
          <w:tcPr>
            <w:tcW w:type="dxa" w:w="3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Pre-employment of a new driver (or yourself, first authority)</w:t>
            </w:r>
          </w:p>
        </w:tc>
        <w:tc>
          <w:tcPr>
            <w:tcW w:type="dxa" w:w="1500"/>
            <w:tcBorders>
              <w:top w:val="single" w:color="BFBFBF" w:sz="1"/>
              <w:left w:val="single" w:color="BFBFBF" w:sz="1"/>
              <w:bottom w:val="single" w:color="BFBFBF" w:sz="1"/>
              <w:right w:val="single" w:color="BFBFBF" w:sz="1"/>
            </w:tcBorders>
            <w:tcMar>
              <w:top w:type="dxa" w:w="100"/>
              <w:left w:type="dxa" w:w="140"/>
              <w:bottom w:type="dxa" w:w="100"/>
              <w:right w:type="dxa" w:w="140"/>
            </w:tcMar>
          </w:tcPr>
          <w:p>
            <w:pPr>
              <w:jc w:val="center"/>
            </w:pPr>
            <w:r>
              <w:rPr>
                <w:b/>
                <w:bCs/>
                <w:sz w:val="20"/>
                <w:szCs w:val="20"/>
              </w:rPr>
              <w:t xml:space="preserve">Tab 5</w:t>
            </w:r>
          </w:p>
        </w:tc>
        <w:tc>
          <w:tcPr>
            <w:tcW w:type="dxa" w:w="436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Pre-employment test BEFORE first safety-sensitive shift. Run pre-employment Clearinghouse full query.</w:t>
            </w:r>
          </w:p>
        </w:tc>
      </w:tr>
      <w:tr>
        <w:tc>
          <w:tcPr>
            <w:tcW w:type="dxa" w:w="3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Random selection notice received from C/TPA</w:t>
            </w:r>
          </w:p>
        </w:tc>
        <w:tc>
          <w:tcPr>
            <w:tcW w:type="dxa" w:w="1500"/>
            <w:tcBorders>
              <w:top w:val="single" w:color="BFBFBF" w:sz="1"/>
              <w:left w:val="single" w:color="BFBFBF" w:sz="1"/>
              <w:bottom w:val="single" w:color="BFBFBF" w:sz="1"/>
              <w:right w:val="single" w:color="BFBFBF" w:sz="1"/>
            </w:tcBorders>
            <w:tcMar>
              <w:top w:type="dxa" w:w="100"/>
              <w:left w:type="dxa" w:w="140"/>
              <w:bottom w:type="dxa" w:w="100"/>
              <w:right w:type="dxa" w:w="140"/>
            </w:tcMar>
          </w:tcPr>
          <w:p>
            <w:pPr>
              <w:jc w:val="center"/>
            </w:pPr>
            <w:r>
              <w:rPr>
                <w:b/>
                <w:bCs/>
                <w:sz w:val="20"/>
                <w:szCs w:val="20"/>
              </w:rPr>
              <w:t xml:space="preserve">Tab 4</w:t>
            </w:r>
          </w:p>
        </w:tc>
        <w:tc>
          <w:tcPr>
            <w:tcW w:type="dxa" w:w="436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Notify the driver immediately; driver goes for the test right away; log times.</w:t>
            </w:r>
          </w:p>
        </w:tc>
      </w:tr>
      <w:tr>
        <w:tc>
          <w:tcPr>
            <w:tcW w:type="dxa" w:w="3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Accident — any kind</w:t>
            </w:r>
          </w:p>
        </w:tc>
        <w:tc>
          <w:tcPr>
            <w:tcW w:type="dxa" w:w="1500"/>
            <w:tcBorders>
              <w:top w:val="single" w:color="BFBFBF" w:sz="1"/>
              <w:left w:val="single" w:color="BFBFBF" w:sz="1"/>
              <w:bottom w:val="single" w:color="BFBFBF" w:sz="1"/>
              <w:right w:val="single" w:color="BFBFBF" w:sz="1"/>
            </w:tcBorders>
            <w:tcMar>
              <w:top w:type="dxa" w:w="100"/>
              <w:left w:type="dxa" w:w="140"/>
              <w:bottom w:type="dxa" w:w="100"/>
              <w:right w:type="dxa" w:w="140"/>
            </w:tcMar>
          </w:tcPr>
          <w:p>
            <w:pPr>
              <w:jc w:val="center"/>
            </w:pPr>
            <w:r>
              <w:rPr>
                <w:b/>
                <w:bCs/>
                <w:sz w:val="20"/>
                <w:szCs w:val="20"/>
              </w:rPr>
              <w:t xml:space="preserve">Tab 3</w:t>
            </w:r>
          </w:p>
        </w:tc>
        <w:tc>
          <w:tcPr>
            <w:tcW w:type="dxa" w:w="436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Run the four §382.303 questions: killed, ticket+hospital, ticket+towed. If YES → DOT test required.</w:t>
            </w:r>
          </w:p>
        </w:tc>
      </w:tr>
      <w:tr>
        <w:tc>
          <w:tcPr>
            <w:tcW w:type="dxa" w:w="3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Positive test, refusal, or alcohol ≥ 0.04</w:t>
            </w:r>
          </w:p>
        </w:tc>
        <w:tc>
          <w:tcPr>
            <w:tcW w:type="dxa" w:w="1500"/>
            <w:tcBorders>
              <w:top w:val="single" w:color="BFBFBF" w:sz="1"/>
              <w:left w:val="single" w:color="BFBFBF" w:sz="1"/>
              <w:bottom w:val="single" w:color="BFBFBF" w:sz="1"/>
              <w:right w:val="single" w:color="BFBFBF" w:sz="1"/>
            </w:tcBorders>
            <w:tcMar>
              <w:top w:type="dxa" w:w="100"/>
              <w:left w:type="dxa" w:w="140"/>
              <w:bottom w:type="dxa" w:w="100"/>
              <w:right w:type="dxa" w:w="140"/>
            </w:tcMar>
          </w:tcPr>
          <w:p>
            <w:pPr>
              <w:jc w:val="center"/>
            </w:pPr>
            <w:r>
              <w:rPr>
                <w:b/>
                <w:bCs/>
                <w:sz w:val="20"/>
                <w:szCs w:val="20"/>
              </w:rPr>
              <w:t xml:space="preserve">Tab 6</w:t>
            </w:r>
          </w:p>
        </w:tc>
        <w:tc>
          <w:tcPr>
            <w:tcW w:type="dxa" w:w="436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Driver OFF safety-sensitive duty immediately. Provide SAP list. Begin RTD process.</w:t>
            </w:r>
          </w:p>
        </w:tc>
      </w:tr>
      <w:tr>
        <w:tc>
          <w:tcPr>
            <w:tcW w:type="dxa" w:w="3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Annual Clearinghouse limited query</w:t>
            </w:r>
          </w:p>
        </w:tc>
        <w:tc>
          <w:tcPr>
            <w:tcW w:type="dxa" w:w="1500"/>
            <w:tcBorders>
              <w:top w:val="single" w:color="BFBFBF" w:sz="1"/>
              <w:left w:val="single" w:color="BFBFBF" w:sz="1"/>
              <w:bottom w:val="single" w:color="BFBFBF" w:sz="1"/>
              <w:right w:val="single" w:color="BFBFBF" w:sz="1"/>
            </w:tcBorders>
            <w:tcMar>
              <w:top w:type="dxa" w:w="100"/>
              <w:left w:type="dxa" w:w="140"/>
              <w:bottom w:type="dxa" w:w="100"/>
              <w:right w:type="dxa" w:w="140"/>
            </w:tcMar>
          </w:tcPr>
          <w:p>
            <w:pPr>
              <w:jc w:val="center"/>
            </w:pPr>
            <w:r>
              <w:rPr>
                <w:b/>
                <w:bCs/>
                <w:sz w:val="20"/>
                <w:szCs w:val="20"/>
              </w:rPr>
              <w:t xml:space="preserve">Tab 7</w:t>
            </w:r>
          </w:p>
        </w:tc>
        <w:tc>
          <w:tcPr>
            <w:tcW w:type="dxa" w:w="436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Run once per year per driver. Calendar before the anniversary.</w:t>
            </w:r>
          </w:p>
        </w:tc>
      </w:tr>
      <w:tr>
        <w:tc>
          <w:tcPr>
            <w:tcW w:type="dxa" w:w="3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Audit / compliance review notice</w:t>
            </w:r>
          </w:p>
        </w:tc>
        <w:tc>
          <w:tcPr>
            <w:tcW w:type="dxa" w:w="1500"/>
            <w:tcBorders>
              <w:top w:val="single" w:color="BFBFBF" w:sz="1"/>
              <w:left w:val="single" w:color="BFBFBF" w:sz="1"/>
              <w:bottom w:val="single" w:color="BFBFBF" w:sz="1"/>
              <w:right w:val="single" w:color="BFBFBF" w:sz="1"/>
            </w:tcBorders>
            <w:tcMar>
              <w:top w:type="dxa" w:w="100"/>
              <w:left w:type="dxa" w:w="140"/>
              <w:bottom w:type="dxa" w:w="100"/>
              <w:right w:type="dxa" w:w="140"/>
            </w:tcMar>
          </w:tcPr>
          <w:p>
            <w:pPr>
              <w:jc w:val="center"/>
            </w:pPr>
            <w:r>
              <w:rPr>
                <w:b/>
                <w:bCs/>
                <w:sz w:val="20"/>
                <w:szCs w:val="20"/>
              </w:rPr>
              <w:t xml:space="preserve">Tab 9</w:t>
            </w:r>
          </w:p>
        </w:tc>
        <w:tc>
          <w:tcPr>
            <w:tcW w:type="dxa" w:w="436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Pull this binder. Work the audit checklist. Call your C/TPA for support.</w:t>
            </w:r>
          </w:p>
        </w:tc>
      </w:tr>
    </w:tbl>
    <w:p>
      <w:pPr>
        <w:spacing w:after="200"/>
      </w:pPr>
      <w:r>
        <w:t xml:space="preserve"/>
      </w:r>
    </w:p>
    <w:p>
      <w:pPr>
        <w:pStyle w:val="Heading1"/>
        <w:spacing w:after="180" w:before="300"/>
      </w:pPr>
      <w:r>
        <w:rPr>
          <w:b/>
          <w:bCs/>
        </w:rPr>
        <w:t xml:space="preserve">Tab 2 — C/TPA arrangement</w:t>
      </w:r>
    </w:p>
    <w:p>
      <w:pPr>
        <w:spacing w:after="120"/>
      </w:pPr>
      <w:r>
        <w:t xml:space="preserve">Owner-operators must participate in a random testing pool. The C/TPA (consortium / third-party administrator) is who you contract with to do this. The C/TPA can also act as your DER — but ONLY through a written agreement and ONLY to the extent permitted under Part 40 and Part 382. Some duties (immediate removal from duty on a verified positive) cannot be delegated.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C/TPA legal name</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C/TPA contact name</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24-hour C/TPA phone</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C/TPA email</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C/TPA acting as DER? (Y/N) — if N, name your DER</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Random pool ID / member #</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Contract effective date</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r>
        <w:tc>
          <w:tcPr>
            <w:tcW w:type="dxa" w:w="30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r>
              <w:rPr>
                <w:b/>
                <w:bCs/>
                <w:sz w:val="20"/>
                <w:szCs w:val="20"/>
              </w:rPr>
              <w:t xml:space="preserve">Annual renewal date</w:t>
            </w:r>
          </w:p>
        </w:tc>
        <w:tc>
          <w:tcPr>
            <w:tcW w:type="dxa" w:w="63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20"/>
                <w:szCs w:val="20"/>
              </w:rPr>
              <w:t xml:space="preserve"> </w:t>
            </w:r>
          </w:p>
        </w:tc>
      </w:tr>
    </w:tbl>
    <w:p>
      <w:pPr>
        <w:spacing w:after="200"/>
      </w:pPr>
      <w:r>
        <w:t xml:space="preserve"/>
      </w:r>
    </w:p>
    <w:p>
      <w:pPr>
        <w:pStyle w:val="Heading1"/>
        <w:spacing w:after="180" w:before="300"/>
      </w:pPr>
      <w:r>
        <w:rPr>
          <w:b/>
          <w:bCs/>
        </w:rPr>
        <w:t xml:space="preserve">Tab 3 — Accident decision log</w:t>
      </w:r>
    </w:p>
    <w:p>
      <w:pPr>
        <w:spacing w:after="120"/>
      </w:pPr>
      <w:r>
        <w:t xml:space="preserve">Run the §382.303 test for every accident. ANY 'YES' triggers DOT post-accident testing (drug within 32 hours, alcohol within 8 hours where practicable).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1700"/>
        <w:gridCol w:w="1200"/>
        <w:gridCol w:w="1200"/>
        <w:gridCol w:w="1200"/>
        <w:gridCol w:w="1200"/>
        <w:gridCol w:w="1660"/>
      </w:tblGrid>
      <w:tr>
        <w:trPr>
          <w:tblHeader/>
        </w:trPr>
        <w:tc>
          <w:tcPr>
            <w:tcW w:type="dxa" w:w="120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Date</w:t>
            </w:r>
          </w:p>
        </w:tc>
        <w:tc>
          <w:tcPr>
            <w:tcW w:type="dxa" w:w="170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Driver</w:t>
            </w:r>
          </w:p>
        </w:tc>
        <w:tc>
          <w:tcPr>
            <w:tcW w:type="dxa" w:w="120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Killed?</w:t>
            </w:r>
          </w:p>
        </w:tc>
        <w:tc>
          <w:tcPr>
            <w:tcW w:type="dxa" w:w="120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Ticket+Hosp?</w:t>
            </w:r>
          </w:p>
        </w:tc>
        <w:tc>
          <w:tcPr>
            <w:tcW w:type="dxa" w:w="120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Ticket+Tow?</w:t>
            </w:r>
          </w:p>
        </w:tc>
        <w:tc>
          <w:tcPr>
            <w:tcW w:type="dxa" w:w="120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DOT test req?</w:t>
            </w:r>
          </w:p>
        </w:tc>
        <w:tc>
          <w:tcPr>
            <w:tcW w:type="dxa" w:w="166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Result</w:t>
            </w:r>
          </w:p>
        </w:tc>
      </w:tr>
      <w:tr>
        <w:tc>
          <w:tcPr>
            <w:tcW w:type="dxa" w:w="12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7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2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2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2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2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66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r>
      <w:tr>
        <w:tc>
          <w:tcPr>
            <w:tcW w:type="dxa" w:w="12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7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2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2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2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2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66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r>
      <w:tr>
        <w:tc>
          <w:tcPr>
            <w:tcW w:type="dxa" w:w="12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7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2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2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2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2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66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r>
      <w:tr>
        <w:tc>
          <w:tcPr>
            <w:tcW w:type="dxa" w:w="12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7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2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2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2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2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66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r>
    </w:tbl>
    <w:p>
      <w:pPr>
        <w:spacing w:after="200"/>
      </w:pPr>
      <w:r>
        <w:t xml:space="preserve"/>
      </w:r>
    </w:p>
    <w:p>
      <w:pPr>
        <w:pStyle w:val="Heading1"/>
        <w:spacing w:after="180" w:before="300"/>
      </w:pPr>
      <w:r>
        <w:rPr>
          <w:b/>
          <w:bCs/>
        </w:rPr>
        <w:t xml:space="preserve">Tab 4 — Random testing log</w:t>
      </w:r>
    </w:p>
    <w:p>
      <w:pPr>
        <w:spacing w:after="120"/>
      </w:pPr>
      <w:r>
        <w:t xml:space="preserve">FMCSA 2026 random rates remain 50% drug / 10% alcohol (per the U.S. DOT January 8, 2026 announcement). Your C/TPA generates random selections. When you receive a notice, the driver goes for the test immediately — late or missed = refusal.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2000"/>
        <w:gridCol w:w="1300"/>
        <w:gridCol w:w="1300"/>
        <w:gridCol w:w="1300"/>
        <w:gridCol w:w="1960"/>
      </w:tblGrid>
      <w:tr>
        <w:trPr>
          <w:tblHeader/>
        </w:trPr>
        <w:tc>
          <w:tcPr>
            <w:tcW w:type="dxa" w:w="150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Date</w:t>
            </w:r>
          </w:p>
        </w:tc>
        <w:tc>
          <w:tcPr>
            <w:tcW w:type="dxa" w:w="200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Driver</w:t>
            </w:r>
          </w:p>
        </w:tc>
        <w:tc>
          <w:tcPr>
            <w:tcW w:type="dxa" w:w="130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Notified</w:t>
            </w:r>
          </w:p>
        </w:tc>
        <w:tc>
          <w:tcPr>
            <w:tcW w:type="dxa" w:w="130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Test type</w:t>
            </w:r>
          </w:p>
        </w:tc>
        <w:tc>
          <w:tcPr>
            <w:tcW w:type="dxa" w:w="130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Arrival</w:t>
            </w:r>
          </w:p>
        </w:tc>
        <w:tc>
          <w:tcPr>
            <w:tcW w:type="dxa" w:w="196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Result</w:t>
            </w:r>
          </w:p>
        </w:tc>
      </w:tr>
      <w:tr>
        <w:tc>
          <w:tcPr>
            <w:tcW w:type="dxa" w:w="1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20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3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3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3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96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r>
      <w:tr>
        <w:tc>
          <w:tcPr>
            <w:tcW w:type="dxa" w:w="1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20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3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3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3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96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r>
      <w:tr>
        <w:tc>
          <w:tcPr>
            <w:tcW w:type="dxa" w:w="1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20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3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3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3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96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r>
      <w:tr>
        <w:tc>
          <w:tcPr>
            <w:tcW w:type="dxa" w:w="1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20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3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3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3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96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r>
    </w:tbl>
    <w:p>
      <w:pPr>
        <w:spacing w:after="200"/>
      </w:pPr>
      <w:r>
        <w:t xml:space="preserve"/>
      </w:r>
    </w:p>
    <w:p>
      <w:pPr>
        <w:pStyle w:val="Heading1"/>
        <w:spacing w:after="180" w:before="300"/>
      </w:pPr>
      <w:r>
        <w:rPr>
          <w:b/>
          <w:bCs/>
        </w:rPr>
        <w:t xml:space="preserve">Tab 5 — New-driver / pre-employment log</w:t>
      </w:r>
    </w:p>
    <w:p>
      <w:pPr>
        <w:spacing w:after="120"/>
      </w:pPr>
      <w:r>
        <w:t xml:space="preserve">Required before any safety-sensitive function. Pre-employment drug test must show verified negative result. Pre-employment Clearinghouse full query required for the prospective driver.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500"/>
        <w:gridCol w:w="1500"/>
        <w:gridCol w:w="1500"/>
        <w:gridCol w:w="2860"/>
      </w:tblGrid>
      <w:tr>
        <w:trPr>
          <w:tblHeader/>
        </w:trPr>
        <w:tc>
          <w:tcPr>
            <w:tcW w:type="dxa" w:w="200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Driver</w:t>
            </w:r>
          </w:p>
        </w:tc>
        <w:tc>
          <w:tcPr>
            <w:tcW w:type="dxa" w:w="150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Test date</w:t>
            </w:r>
          </w:p>
        </w:tc>
        <w:tc>
          <w:tcPr>
            <w:tcW w:type="dxa" w:w="150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Result</w:t>
            </w:r>
          </w:p>
        </w:tc>
        <w:tc>
          <w:tcPr>
            <w:tcW w:type="dxa" w:w="150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Clearinghouse query date</w:t>
            </w:r>
          </w:p>
        </w:tc>
        <w:tc>
          <w:tcPr>
            <w:tcW w:type="dxa" w:w="286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Cleared to drive? (Y/N)</w:t>
            </w:r>
          </w:p>
        </w:tc>
      </w:tr>
      <w:tr>
        <w:tc>
          <w:tcPr>
            <w:tcW w:type="dxa" w:w="20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286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r>
      <w:tr>
        <w:tc>
          <w:tcPr>
            <w:tcW w:type="dxa" w:w="20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286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r>
      <w:tr>
        <w:tc>
          <w:tcPr>
            <w:tcW w:type="dxa" w:w="20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286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r>
    </w:tbl>
    <w:p>
      <w:pPr>
        <w:spacing w:after="200"/>
      </w:pPr>
      <w:r>
        <w:t xml:space="preserve"/>
      </w:r>
    </w:p>
    <w:p>
      <w:pPr>
        <w:pStyle w:val="Heading1"/>
        <w:spacing w:after="180" w:before="300"/>
      </w:pPr>
      <w:r>
        <w:rPr>
          <w:b/>
          <w:bCs/>
        </w:rPr>
        <w:t xml:space="preserve">Tab 6 — Positive / refusal / SAP / RTD log</w:t>
      </w:r>
    </w:p>
    <w:p>
      <w:pPr>
        <w:spacing w:after="120"/>
      </w:pPr>
      <w:r>
        <w:t xml:space="preserve">On a verified positive, an alcohol result ≥ 0.04, or any refusal: driver is removed from safety-sensitive duty immediately. You must report the violation to the FMCSA Clearinghouse. The driver enters the SAP / RTD process. State will downgrade the driver's CDL until RTD complete (FMCSA Final Rule 86 FR 55718, effective Nov 18, 2024).</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1400"/>
        <w:gridCol w:w="1400"/>
        <w:gridCol w:w="1700"/>
        <w:gridCol w:w="1700"/>
        <w:gridCol w:w="1460"/>
      </w:tblGrid>
      <w:tr>
        <w:trPr>
          <w:tblHeader/>
        </w:trPr>
        <w:tc>
          <w:tcPr>
            <w:tcW w:type="dxa" w:w="170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Driver</w:t>
            </w:r>
          </w:p>
        </w:tc>
        <w:tc>
          <w:tcPr>
            <w:tcW w:type="dxa" w:w="140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Date of violation</w:t>
            </w:r>
          </w:p>
        </w:tc>
        <w:tc>
          <w:tcPr>
            <w:tcW w:type="dxa" w:w="140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Type</w:t>
            </w:r>
          </w:p>
        </w:tc>
        <w:tc>
          <w:tcPr>
            <w:tcW w:type="dxa" w:w="170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SAP referred</w:t>
            </w:r>
          </w:p>
        </w:tc>
        <w:tc>
          <w:tcPr>
            <w:tcW w:type="dxa" w:w="170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RTD test date / result</w:t>
            </w:r>
          </w:p>
        </w:tc>
        <w:tc>
          <w:tcPr>
            <w:tcW w:type="dxa" w:w="146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Follow-up plan</w:t>
            </w:r>
          </w:p>
        </w:tc>
      </w:tr>
      <w:tr>
        <w:tc>
          <w:tcPr>
            <w:tcW w:type="dxa" w:w="17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4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4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7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7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46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r>
      <w:tr>
        <w:tc>
          <w:tcPr>
            <w:tcW w:type="dxa" w:w="17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4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4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7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7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46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r>
    </w:tbl>
    <w:p>
      <w:pPr>
        <w:spacing w:after="200"/>
      </w:pPr>
      <w:r>
        <w:t xml:space="preserve"/>
      </w:r>
    </w:p>
    <w:p>
      <w:pPr>
        <w:pStyle w:val="Heading1"/>
        <w:spacing w:after="180" w:before="300"/>
      </w:pPr>
      <w:r>
        <w:rPr>
          <w:b/>
          <w:bCs/>
        </w:rPr>
        <w:t xml:space="preserve">Tab 7 — Annual Clearinghouse query log</w:t>
      </w:r>
    </w:p>
    <w:p>
      <w:pPr>
        <w:spacing w:after="120"/>
      </w:pPr>
      <w:r>
        <w:t xml:space="preserve">Limited query annually for each CDL driver. Owner-operator-only operations still must register and query themselves annually. Pre-employment is a full query (driver's written consent required).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700"/>
        <w:gridCol w:w="1700"/>
        <w:gridCol w:w="1700"/>
        <w:gridCol w:w="2060"/>
      </w:tblGrid>
      <w:tr>
        <w:trPr>
          <w:tblHeader/>
        </w:trPr>
        <w:tc>
          <w:tcPr>
            <w:tcW w:type="dxa" w:w="220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Driver</w:t>
            </w:r>
          </w:p>
        </w:tc>
        <w:tc>
          <w:tcPr>
            <w:tcW w:type="dxa" w:w="170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Query type</w:t>
            </w:r>
          </w:p>
        </w:tc>
        <w:tc>
          <w:tcPr>
            <w:tcW w:type="dxa" w:w="170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Date</w:t>
            </w:r>
          </w:p>
        </w:tc>
        <w:tc>
          <w:tcPr>
            <w:tcW w:type="dxa" w:w="170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Result</w:t>
            </w:r>
          </w:p>
        </w:tc>
        <w:tc>
          <w:tcPr>
            <w:tcW w:type="dxa" w:w="206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Notes</w:t>
            </w:r>
          </w:p>
        </w:tc>
      </w:tr>
      <w:tr>
        <w:tc>
          <w:tcPr>
            <w:tcW w:type="dxa" w:w="22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7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7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7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206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r>
      <w:tr>
        <w:tc>
          <w:tcPr>
            <w:tcW w:type="dxa" w:w="22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7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7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7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206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r>
      <w:tr>
        <w:tc>
          <w:tcPr>
            <w:tcW w:type="dxa" w:w="22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7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7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17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c>
          <w:tcPr>
            <w:tcW w:type="dxa" w:w="206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r>
    </w:tbl>
    <w:p>
      <w:pPr>
        <w:spacing w:after="200"/>
      </w:pPr>
      <w:r>
        <w:t xml:space="preserve"/>
      </w:r>
    </w:p>
    <w:p>
      <w:pPr>
        <w:pStyle w:val="Heading1"/>
        <w:spacing w:after="180" w:before="300"/>
      </w:pPr>
      <w:r>
        <w:rPr>
          <w:b/>
          <w:bCs/>
        </w:rPr>
        <w:t xml:space="preserve">Tab 8 — Document retention (per §382.401)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1800"/>
        <w:gridCol w:w="2880"/>
      </w:tblGrid>
      <w:tr>
        <w:trPr>
          <w:tblHeader/>
        </w:trPr>
        <w:tc>
          <w:tcPr>
            <w:tcW w:type="dxa" w:w="468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Document type</w:t>
            </w:r>
          </w:p>
        </w:tc>
        <w:tc>
          <w:tcPr>
            <w:tcW w:type="dxa" w:w="180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Retain</w:t>
            </w:r>
          </w:p>
        </w:tc>
        <w:tc>
          <w:tcPr>
            <w:tcW w:type="dxa" w:w="288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Notes</w:t>
            </w:r>
          </w:p>
        </w:tc>
      </w:tr>
      <w:tr>
        <w:tc>
          <w:tcPr>
            <w:tcW w:type="dxa" w:w="468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Verified positive test results, refusals, SAP reports, follow-up testing records</w:t>
            </w:r>
          </w:p>
        </w:tc>
        <w:tc>
          <w:tcPr>
            <w:tcW w:type="dxa" w:w="1800"/>
            <w:tcBorders>
              <w:top w:val="single" w:color="BFBFBF" w:sz="1"/>
              <w:left w:val="single" w:color="BFBFBF" w:sz="1"/>
              <w:bottom w:val="single" w:color="BFBFBF" w:sz="1"/>
              <w:right w:val="single" w:color="BFBFBF" w:sz="1"/>
            </w:tcBorders>
            <w:tcMar>
              <w:top w:type="dxa" w:w="100"/>
              <w:left w:type="dxa" w:w="140"/>
              <w:bottom w:type="dxa" w:w="100"/>
              <w:right w:type="dxa" w:w="140"/>
            </w:tcMar>
          </w:tcPr>
          <w:p>
            <w:pPr>
              <w:jc w:val="center"/>
            </w:pPr>
            <w:r>
              <w:rPr>
                <w:b/>
                <w:bCs/>
                <w:sz w:val="20"/>
                <w:szCs w:val="20"/>
              </w:rPr>
              <w:t xml:space="preserve">5 years</w:t>
            </w:r>
          </w:p>
        </w:tc>
        <w:tc>
          <w:tcPr>
            <w:tcW w:type="dxa" w:w="288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Highest-tier retention</w:t>
            </w:r>
          </w:p>
        </w:tc>
      </w:tr>
      <w:tr>
        <w:tc>
          <w:tcPr>
            <w:tcW w:type="dxa" w:w="468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Documentation of collection process, MRO reports</w:t>
            </w:r>
          </w:p>
        </w:tc>
        <w:tc>
          <w:tcPr>
            <w:tcW w:type="dxa" w:w="1800"/>
            <w:tcBorders>
              <w:top w:val="single" w:color="BFBFBF" w:sz="1"/>
              <w:left w:val="single" w:color="BFBFBF" w:sz="1"/>
              <w:bottom w:val="single" w:color="BFBFBF" w:sz="1"/>
              <w:right w:val="single" w:color="BFBFBF" w:sz="1"/>
            </w:tcBorders>
            <w:tcMar>
              <w:top w:type="dxa" w:w="100"/>
              <w:left w:type="dxa" w:w="140"/>
              <w:bottom w:type="dxa" w:w="100"/>
              <w:right w:type="dxa" w:w="140"/>
            </w:tcMar>
          </w:tcPr>
          <w:p>
            <w:pPr>
              <w:jc w:val="center"/>
            </w:pPr>
            <w:r>
              <w:rPr>
                <w:b/>
                <w:bCs/>
                <w:sz w:val="20"/>
                <w:szCs w:val="20"/>
              </w:rPr>
              <w:t xml:space="preserve">5 years</w:t>
            </w:r>
          </w:p>
        </w:tc>
        <w:tc>
          <w:tcPr>
            <w:tcW w:type="dxa" w:w="288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Treat as audit-critical</w:t>
            </w:r>
          </w:p>
        </w:tc>
      </w:tr>
      <w:tr>
        <w:tc>
          <w:tcPr>
            <w:tcW w:type="dxa" w:w="468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Annual MIS reports (if required)</w:t>
            </w:r>
          </w:p>
        </w:tc>
        <w:tc>
          <w:tcPr>
            <w:tcW w:type="dxa" w:w="1800"/>
            <w:tcBorders>
              <w:top w:val="single" w:color="BFBFBF" w:sz="1"/>
              <w:left w:val="single" w:color="BFBFBF" w:sz="1"/>
              <w:bottom w:val="single" w:color="BFBFBF" w:sz="1"/>
              <w:right w:val="single" w:color="BFBFBF" w:sz="1"/>
            </w:tcBorders>
            <w:tcMar>
              <w:top w:type="dxa" w:w="100"/>
              <w:left w:type="dxa" w:w="140"/>
              <w:bottom w:type="dxa" w:w="100"/>
              <w:right w:type="dxa" w:w="140"/>
            </w:tcMar>
          </w:tcPr>
          <w:p>
            <w:pPr>
              <w:jc w:val="center"/>
            </w:pPr>
            <w:r>
              <w:rPr>
                <w:b/>
                <w:bCs/>
                <w:sz w:val="20"/>
                <w:szCs w:val="20"/>
              </w:rPr>
              <w:t xml:space="preserve">5 years</w:t>
            </w:r>
          </w:p>
        </w:tc>
        <w:tc>
          <w:tcPr>
            <w:tcW w:type="dxa" w:w="288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FMCSA filing record</w:t>
            </w:r>
          </w:p>
        </w:tc>
      </w:tr>
      <w:tr>
        <w:tc>
          <w:tcPr>
            <w:tcW w:type="dxa" w:w="468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Supervisor training records and certificates</w:t>
            </w:r>
          </w:p>
        </w:tc>
        <w:tc>
          <w:tcPr>
            <w:tcW w:type="dxa" w:w="1800"/>
            <w:tcBorders>
              <w:top w:val="single" w:color="BFBFBF" w:sz="1"/>
              <w:left w:val="single" w:color="BFBFBF" w:sz="1"/>
              <w:bottom w:val="single" w:color="BFBFBF" w:sz="1"/>
              <w:right w:val="single" w:color="BFBFBF" w:sz="1"/>
            </w:tcBorders>
            <w:tcMar>
              <w:top w:type="dxa" w:w="100"/>
              <w:left w:type="dxa" w:w="140"/>
              <w:bottom w:type="dxa" w:w="100"/>
              <w:right w:type="dxa" w:w="140"/>
            </w:tcMar>
          </w:tcPr>
          <w:p>
            <w:pPr>
              <w:jc w:val="center"/>
            </w:pPr>
            <w:r>
              <w:rPr>
                <w:b/>
                <w:bCs/>
                <w:sz w:val="20"/>
                <w:szCs w:val="20"/>
              </w:rPr>
              <w:t xml:space="preserve">2 years</w:t>
            </w:r>
          </w:p>
        </w:tc>
        <w:tc>
          <w:tcPr>
            <w:tcW w:type="dxa" w:w="288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Training materials too</w:t>
            </w:r>
          </w:p>
        </w:tc>
      </w:tr>
      <w:tr>
        <w:tc>
          <w:tcPr>
            <w:tcW w:type="dxa" w:w="468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Negative and canceled drug test results</w:t>
            </w:r>
          </w:p>
        </w:tc>
        <w:tc>
          <w:tcPr>
            <w:tcW w:type="dxa" w:w="1800"/>
            <w:tcBorders>
              <w:top w:val="single" w:color="BFBFBF" w:sz="1"/>
              <w:left w:val="single" w:color="BFBFBF" w:sz="1"/>
              <w:bottom w:val="single" w:color="BFBFBF" w:sz="1"/>
              <w:right w:val="single" w:color="BFBFBF" w:sz="1"/>
            </w:tcBorders>
            <w:tcMar>
              <w:top w:type="dxa" w:w="100"/>
              <w:left w:type="dxa" w:w="140"/>
              <w:bottom w:type="dxa" w:w="100"/>
              <w:right w:type="dxa" w:w="140"/>
            </w:tcMar>
          </w:tcPr>
          <w:p>
            <w:pPr>
              <w:jc w:val="center"/>
            </w:pPr>
            <w:r>
              <w:rPr>
                <w:b/>
                <w:bCs/>
                <w:sz w:val="20"/>
                <w:szCs w:val="20"/>
              </w:rPr>
              <w:t xml:space="preserve">1 year</w:t>
            </w:r>
          </w:p>
        </w:tc>
        <w:tc>
          <w:tcPr>
            <w:tcW w:type="dxa" w:w="288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Pre-employment negatives often kept longer with the DQ file</w:t>
            </w:r>
          </w:p>
        </w:tc>
      </w:tr>
      <w:tr>
        <w:tc>
          <w:tcPr>
            <w:tcW w:type="dxa" w:w="468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Alcohol test results &lt; 0.02</w:t>
            </w:r>
          </w:p>
        </w:tc>
        <w:tc>
          <w:tcPr>
            <w:tcW w:type="dxa" w:w="1800"/>
            <w:tcBorders>
              <w:top w:val="single" w:color="BFBFBF" w:sz="1"/>
              <w:left w:val="single" w:color="BFBFBF" w:sz="1"/>
              <w:bottom w:val="single" w:color="BFBFBF" w:sz="1"/>
              <w:right w:val="single" w:color="BFBFBF" w:sz="1"/>
            </w:tcBorders>
            <w:tcMar>
              <w:top w:type="dxa" w:w="100"/>
              <w:left w:type="dxa" w:w="140"/>
              <w:bottom w:type="dxa" w:w="100"/>
              <w:right w:type="dxa" w:w="140"/>
            </w:tcMar>
          </w:tcPr>
          <w:p>
            <w:pPr>
              <w:jc w:val="center"/>
            </w:pPr>
            <w:r>
              <w:rPr>
                <w:b/>
                <w:bCs/>
                <w:sz w:val="20"/>
                <w:szCs w:val="20"/>
              </w:rPr>
              <w:t xml:space="preserve">1 year</w:t>
            </w:r>
          </w:p>
        </w:tc>
        <w:tc>
          <w:tcPr>
            <w:tcW w:type="dxa" w:w="288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 </w:t>
            </w:r>
          </w:p>
        </w:tc>
      </w:tr>
      <w:tr>
        <w:tc>
          <w:tcPr>
            <w:tcW w:type="dxa" w:w="468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Random selection records (the lists)</w:t>
            </w:r>
          </w:p>
        </w:tc>
        <w:tc>
          <w:tcPr>
            <w:tcW w:type="dxa" w:w="1800"/>
            <w:tcBorders>
              <w:top w:val="single" w:color="BFBFBF" w:sz="1"/>
              <w:left w:val="single" w:color="BFBFBF" w:sz="1"/>
              <w:bottom w:val="single" w:color="BFBFBF" w:sz="1"/>
              <w:right w:val="single" w:color="BFBFBF" w:sz="1"/>
            </w:tcBorders>
            <w:tcMar>
              <w:top w:type="dxa" w:w="100"/>
              <w:left w:type="dxa" w:w="140"/>
              <w:bottom w:type="dxa" w:w="100"/>
              <w:right w:type="dxa" w:w="140"/>
            </w:tcMar>
          </w:tcPr>
          <w:p>
            <w:pPr>
              <w:jc w:val="center"/>
            </w:pPr>
            <w:r>
              <w:rPr>
                <w:b/>
                <w:bCs/>
                <w:sz w:val="20"/>
                <w:szCs w:val="20"/>
              </w:rPr>
              <w:t xml:space="preserve">2 years</w:t>
            </w:r>
          </w:p>
        </w:tc>
        <w:tc>
          <w:tcPr>
            <w:tcW w:type="dxa" w:w="288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Save the C/TPA selection notices</w:t>
            </w:r>
          </w:p>
        </w:tc>
      </w:tr>
    </w:tbl>
    <w:p>
      <w:pPr>
        <w:spacing w:after="200"/>
      </w:pPr>
      <w:r>
        <w:t xml:space="preserve"/>
      </w:r>
    </w:p>
    <w:p>
      <w:pPr>
        <w:pStyle w:val="Heading1"/>
        <w:spacing w:after="180" w:before="300"/>
      </w:pPr>
      <w:r>
        <w:rPr>
          <w:b/>
          <w:bCs/>
        </w:rPr>
        <w:t xml:space="preserve">Tab 9 — Audit checklist (do this before any FMCSA contact)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8760"/>
      </w:tblGrid>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DOT number active and MCS-150 current (biennial)</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Driver in C/TPA random pool with current contract</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Pre-employment drug test on file (verified negative)</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Pre-employment Clearinghouse full query on file</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Annual limited Clearinghouse query on file, most recent within 12 months</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All random selections received in last 5 years documented with outcomes</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All positive / refusal / RTD events documented end-to-end through follow-up plan</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DER contact info documented and posted (DER Information Form for drivers)</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Supervisor training certificates (if you have other drivers and supervise them)</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Driver Handbook distributed to every CDL driver</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MRO contract and credentials on file</w:t>
            </w:r>
          </w:p>
        </w:tc>
      </w:tr>
      <w:tr>
        <w:tc>
          <w:tcPr>
            <w:tcW w:type="dxa" w:w="600"/>
            <w:tcBorders>
              <w:top w:val="single" w:color="BFBFBF" w:sz="1"/>
              <w:left w:val="single" w:color="BFBFBF" w:sz="1"/>
              <w:bottom w:val="single" w:color="BFBFBF" w:sz="1"/>
              <w:right w:val="single" w:color="BFBFBF" w:sz="1"/>
            </w:tcBorders>
            <w:shd w:fill="DEEAF6" w:val="clear"/>
            <w:tcMar>
              <w:top w:type="dxa" w:w="100"/>
              <w:left w:type="dxa" w:w="140"/>
              <w:bottom w:type="dxa" w:w="100"/>
              <w:right w:type="dxa" w:w="140"/>
            </w:tcMar>
            <w:vAlign w:val="center"/>
          </w:tcPr>
          <w:p>
            <w:pPr>
              <w:jc w:val="center"/>
            </w:pPr>
            <w:r>
              <w:rPr>
                <w:b/>
                <w:bCs/>
                <w:sz w:val="20"/>
                <w:szCs w:val="20"/>
              </w:rPr>
              <w:t xml:space="preserve">☐</w:t>
            </w:r>
          </w:p>
        </w:tc>
        <w:tc>
          <w:tcPr>
            <w:tcW w:type="dxa" w:w="8760"/>
            <w:tcBorders>
              <w:top w:val="single" w:color="BFBFBF" w:sz="1"/>
              <w:left w:val="single" w:color="BFBFBF" w:sz="1"/>
              <w:bottom w:val="single" w:color="BFBFBF" w:sz="1"/>
              <w:right w:val="single" w:color="BFBFBF" w:sz="1"/>
            </w:tcBorders>
            <w:tcMar>
              <w:top w:type="dxa" w:w="100"/>
              <w:left w:type="dxa" w:w="140"/>
              <w:bottom w:type="dxa" w:w="100"/>
              <w:right w:type="dxa" w:w="140"/>
            </w:tcMar>
            <w:vAlign w:val="center"/>
          </w:tcPr>
          <w:p>
            <w:r>
              <w:rPr>
                <w:b w:val="false"/>
                <w:bCs w:val="false"/>
                <w:sz w:val="18"/>
                <w:szCs w:val="18"/>
              </w:rPr>
              <w:t xml:space="preserve">SAP list available to provide to drivers</w:t>
            </w:r>
          </w:p>
        </w:tc>
      </w:tr>
    </w:tbl>
    <w:p>
      <w:pPr>
        <w:spacing w:after="200"/>
      </w:pPr>
      <w:r>
        <w:t xml:space="preserve"/>
      </w:r>
    </w:p>
    <w:p>
      <w:pPr>
        <w:pStyle w:val="Heading1"/>
        <w:spacing w:after="180" w:before="300"/>
      </w:pPr>
      <w:r>
        <w:rPr>
          <w:b/>
          <w:bCs/>
        </w:rPr>
        <w:t xml:space="preserve">Tab 10 — Who to call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500"/>
        <w:gridCol w:w="2500"/>
        <w:gridCol w:w="3360"/>
      </w:tblGrid>
      <w:tr>
        <w:trPr>
          <w:tblHeader/>
        </w:trPr>
        <w:tc>
          <w:tcPr>
            <w:tcW w:type="dxa" w:w="350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Reason</w:t>
            </w:r>
          </w:p>
        </w:tc>
        <w:tc>
          <w:tcPr>
            <w:tcW w:type="dxa" w:w="250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Number</w:t>
            </w:r>
          </w:p>
        </w:tc>
        <w:tc>
          <w:tcPr>
            <w:tcW w:type="dxa" w:w="3360"/>
            <w:tcBorders>
              <w:top w:val="single" w:color="BFBFBF" w:sz="1"/>
              <w:left w:val="single" w:color="BFBFBF" w:sz="1"/>
              <w:bottom w:val="single" w:color="BFBFBF" w:sz="1"/>
              <w:right w:val="single" w:color="BFBFBF" w:sz="1"/>
            </w:tcBorders>
            <w:shd w:fill="1F4E79" w:val="clear"/>
            <w:tcMar>
              <w:top w:type="dxa" w:w="100"/>
              <w:left w:type="dxa" w:w="140"/>
              <w:bottom w:type="dxa" w:w="100"/>
              <w:right w:type="dxa" w:w="140"/>
            </w:tcMar>
          </w:tcPr>
          <w:p>
            <w:r>
              <w:rPr>
                <w:b/>
                <w:bCs/>
                <w:color w:val="FFFFFF"/>
                <w:sz w:val="20"/>
                <w:szCs w:val="20"/>
              </w:rPr>
              <w:t xml:space="preserve">Notes</w:t>
            </w:r>
          </w:p>
        </w:tc>
      </w:tr>
      <w:tr>
        <w:tc>
          <w:tcPr>
            <w:tcW w:type="dxa" w:w="3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C/TPA — random testing, support</w:t>
            </w:r>
          </w:p>
        </w:tc>
        <w:tc>
          <w:tcPr>
            <w:tcW w:type="dxa" w:w="2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bCs/>
                <w:sz w:val="20"/>
                <w:szCs w:val="20"/>
              </w:rPr>
              <w:t xml:space="preserve">[your C/TPA #]</w:t>
            </w:r>
          </w:p>
        </w:tc>
        <w:tc>
          <w:tcPr>
            <w:tcW w:type="dxa" w:w="336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Fill in. 24-hour number preferred.</w:t>
            </w:r>
          </w:p>
        </w:tc>
      </w:tr>
      <w:tr>
        <w:tc>
          <w:tcPr>
            <w:tcW w:type="dxa" w:w="3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DotMotusCompliance support</w:t>
            </w:r>
          </w:p>
        </w:tc>
        <w:tc>
          <w:tcPr>
            <w:tcW w:type="dxa" w:w="2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bCs/>
                <w:sz w:val="20"/>
                <w:szCs w:val="20"/>
              </w:rPr>
              <w:t xml:space="preserve">(307) 200-8338</w:t>
            </w:r>
          </w:p>
        </w:tc>
        <w:tc>
          <w:tcPr>
            <w:tcW w:type="dxa" w:w="336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Training program support</w:t>
            </w:r>
          </w:p>
        </w:tc>
      </w:tr>
      <w:tr>
        <w:tc>
          <w:tcPr>
            <w:tcW w:type="dxa" w:w="3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FMCSA Drug &amp; Alcohol Clearinghouse</w:t>
            </w:r>
          </w:p>
        </w:tc>
        <w:tc>
          <w:tcPr>
            <w:tcW w:type="dxa" w:w="2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bCs/>
                <w:sz w:val="20"/>
                <w:szCs w:val="20"/>
              </w:rPr>
              <w:t xml:space="preserve">clearinghouse.fmcsa.dot.gov</w:t>
            </w:r>
          </w:p>
        </w:tc>
        <w:tc>
          <w:tcPr>
            <w:tcW w:type="dxa" w:w="336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Queries, violations, RTD reporting</w:t>
            </w:r>
          </w:p>
        </w:tc>
      </w:tr>
      <w:tr>
        <w:tc>
          <w:tcPr>
            <w:tcW w:type="dxa" w:w="3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FMCSA contact center (carriers)</w:t>
            </w:r>
          </w:p>
        </w:tc>
        <w:tc>
          <w:tcPr>
            <w:tcW w:type="dxa" w:w="2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bCs/>
                <w:sz w:val="20"/>
                <w:szCs w:val="20"/>
              </w:rPr>
              <w:t xml:space="preserve">1-800-832-5660</w:t>
            </w:r>
          </w:p>
        </w:tc>
        <w:tc>
          <w:tcPr>
            <w:tcW w:type="dxa" w:w="336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General FMCSA questions</w:t>
            </w:r>
          </w:p>
        </w:tc>
      </w:tr>
      <w:tr>
        <w:tc>
          <w:tcPr>
            <w:tcW w:type="dxa" w:w="3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CHEMTREC (hazmat emergency)</w:t>
            </w:r>
          </w:p>
        </w:tc>
        <w:tc>
          <w:tcPr>
            <w:tcW w:type="dxa" w:w="2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bCs/>
                <w:sz w:val="20"/>
                <w:szCs w:val="20"/>
              </w:rPr>
              <w:t xml:space="preserve">1-800-424-9300</w:t>
            </w:r>
          </w:p>
        </w:tc>
        <w:tc>
          <w:tcPr>
            <w:tcW w:type="dxa" w:w="336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If you also haul hazmat</w:t>
            </w:r>
          </w:p>
        </w:tc>
      </w:tr>
      <w:tr>
        <w:tc>
          <w:tcPr>
            <w:tcW w:type="dxa" w:w="3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National Response Center</w:t>
            </w:r>
          </w:p>
        </w:tc>
        <w:tc>
          <w:tcPr>
            <w:tcW w:type="dxa" w:w="2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bCs/>
                <w:sz w:val="20"/>
                <w:szCs w:val="20"/>
              </w:rPr>
              <w:t xml:space="preserve">1-800-424-8802</w:t>
            </w:r>
          </w:p>
        </w:tc>
        <w:tc>
          <w:tcPr>
            <w:tcW w:type="dxa" w:w="336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§171.15 immediate notice</w:t>
            </w:r>
          </w:p>
        </w:tc>
      </w:tr>
      <w:tr>
        <w:tc>
          <w:tcPr>
            <w:tcW w:type="dxa" w:w="3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SAP (Substance Abuse Professional)</w:t>
            </w:r>
          </w:p>
        </w:tc>
        <w:tc>
          <w:tcPr>
            <w:tcW w:type="dxa" w:w="2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bCs/>
                <w:sz w:val="20"/>
                <w:szCs w:val="20"/>
              </w:rPr>
              <w:t xml:space="preserve">[your SAP name and #]</w:t>
            </w:r>
          </w:p>
        </w:tc>
        <w:tc>
          <w:tcPr>
            <w:tcW w:type="dxa" w:w="336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Provide list to driver on any violation</w:t>
            </w:r>
          </w:p>
        </w:tc>
      </w:tr>
      <w:tr>
        <w:tc>
          <w:tcPr>
            <w:tcW w:type="dxa" w:w="3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MRO (Medical Review Officer)</w:t>
            </w:r>
          </w:p>
        </w:tc>
        <w:tc>
          <w:tcPr>
            <w:tcW w:type="dxa" w:w="2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bCs/>
                <w:sz w:val="20"/>
                <w:szCs w:val="20"/>
              </w:rPr>
              <w:t xml:space="preserve">[your MRO name and #]</w:t>
            </w:r>
          </w:p>
        </w:tc>
        <w:tc>
          <w:tcPr>
            <w:tcW w:type="dxa" w:w="336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Verified result conduit</w:t>
            </w:r>
          </w:p>
        </w:tc>
      </w:tr>
      <w:tr>
        <w:tc>
          <w:tcPr>
            <w:tcW w:type="dxa" w:w="3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Collection site (primary)</w:t>
            </w:r>
          </w:p>
        </w:tc>
        <w:tc>
          <w:tcPr>
            <w:tcW w:type="dxa" w:w="2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bCs/>
                <w:sz w:val="20"/>
                <w:szCs w:val="20"/>
              </w:rPr>
              <w:t xml:space="preserve">[primary site address and #]</w:t>
            </w:r>
          </w:p>
        </w:tc>
        <w:tc>
          <w:tcPr>
            <w:tcW w:type="dxa" w:w="336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After-hours: confirm coverage</w:t>
            </w:r>
          </w:p>
        </w:tc>
      </w:tr>
      <w:tr>
        <w:tc>
          <w:tcPr>
            <w:tcW w:type="dxa" w:w="3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Emergency</w:t>
            </w:r>
          </w:p>
        </w:tc>
        <w:tc>
          <w:tcPr>
            <w:tcW w:type="dxa" w:w="250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bCs/>
                <w:sz w:val="20"/>
                <w:szCs w:val="20"/>
              </w:rPr>
              <w:t xml:space="preserve">911</w:t>
            </w:r>
          </w:p>
        </w:tc>
        <w:tc>
          <w:tcPr>
            <w:tcW w:type="dxa" w:w="3360"/>
            <w:tcBorders>
              <w:top w:val="single" w:color="BFBFBF" w:sz="1"/>
              <w:left w:val="single" w:color="BFBFBF" w:sz="1"/>
              <w:bottom w:val="single" w:color="BFBFBF" w:sz="1"/>
              <w:right w:val="single" w:color="BFBFBF" w:sz="1"/>
            </w:tcBorders>
            <w:tcMar>
              <w:top w:type="dxa" w:w="100"/>
              <w:left w:type="dxa" w:w="140"/>
              <w:bottom w:type="dxa" w:w="100"/>
              <w:right w:type="dxa" w:w="140"/>
            </w:tcMar>
          </w:tcPr>
          <w:p>
            <w:r>
              <w:rPr>
                <w:b w:val="false"/>
                <w:bCs w:val="false"/>
                <w:sz w:val="20"/>
                <w:szCs w:val="20"/>
              </w:rPr>
              <w:t xml:space="preserve">Life safety first, always</w:t>
            </w:r>
          </w:p>
        </w:tc>
      </w:tr>
    </w:tbl>
    <w:p>
      <w:pPr>
        <w:spacing w:after="100" w:before="360"/>
      </w:pPr>
      <w:r>
        <w:rPr>
          <w:b/>
          <w:bCs/>
          <w:color w:val="595959"/>
          <w:sz w:val="16"/>
          <w:szCs w:val="16"/>
        </w:rPr>
        <w:t xml:space="preserve">Disclaimer. </w:t>
      </w:r>
      <w:r>
        <w:rPr>
          <w:i/>
          <w:iCs/>
          <w:color w:val="595959"/>
          <w:sz w:val="16"/>
          <w:szCs w:val="16"/>
        </w:rPr>
        <w:t xml:space="preserve">This document is provided as a compliance aid for customers of DotMotusCompliance Inc. It is not legal advice and does not certify compliance with any federal, state, or local regulation. The hazmat employer or motor carrier is the legally responsible party for compliance and recordkeeping. Always verify the current text of any cited regulation against the eCFR before relying on it. This binder supports but does not replace the requirements of 49 CFR Part 40 and Part 382, the Clearinghouse Rule, or your C/TPA contract. Always verify the current regulatory text against the eCFR.</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4" w:space="4"/>
      </w:pBdr>
      <w:jc w:val="left"/>
    </w:pPr>
    <w:r>
      <w:rPr>
        <w:b/>
        <w:bCs/>
        <w:color w:val="595959"/>
        <w:sz w:val="16"/>
        <w:szCs w:val="16"/>
      </w:rPr>
      <w:t xml:space="preserve">DMC-OO-01</w:t>
    </w:r>
    <w:r>
      <w:rPr>
        <w:color w:val="595959"/>
        <w:sz w:val="16"/>
        <w:szCs w:val="16"/>
      </w:rPr>
      <w:t xml:space="preserve">  ·  Provided for use by paying customers of DotMotusCompliance Inc  ·  </w:t>
    </w:r>
    <w:r>
      <w:rPr>
        <w:color w:val="595959"/>
        <w:sz w:val="16"/>
        <w:szCs w:val="16"/>
      </w:rPr>
      <w:t xml:space="preserve">Page </w:t>
    </w:r>
    <w:r>
      <w:rPr>
        <w:color w:val="595959"/>
        <w:sz w:val="16"/>
        <w:szCs w:val="16"/>
      </w:rPr>
      <w:fldChar w:fldCharType="begin"/>
      <w:instrText xml:space="preserve">PAGE</w:instrText>
      <w:fldChar w:fldCharType="separate"/>
      <w:fldChar w:fldCharType="end"/>
    </w:r>
    <w:r>
      <w:rPr>
        <w:color w:val="595959"/>
        <w:sz w:val="16"/>
        <w:szCs w:val="16"/>
      </w:rPr>
      <w:t xml:space="preserve"> of </w:t>
    </w:r>
    <w:r>
      <w:rPr>
        <w:color w:val="59595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F4E79" w:sz="6" w:space="4"/>
      </w:pBdr>
      <w:jc w:val="left"/>
    </w:pPr>
    <w:r>
      <w:rPr>
        <w:b/>
        <w:bCs/>
        <w:color w:val="1F4E79"/>
        <w:sz w:val="22"/>
        <w:szCs w:val="22"/>
      </w:rPr>
      <w:t xml:space="preserve">DotMotusCompliance Inc</w:t>
    </w:r>
    <w:r>
      <w:rPr>
        <w:color w:val="595959"/>
        <w:sz w:val="18"/>
        <w:szCs w:val="18"/>
      </w:rPr>
      <w:t xml:space="preserve">  ·  Complimentary Compliance Document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abstractNum w:abstractNumId="3" w15:restartNumberingAfterBreak="0">
    <w:multiLevelType w:val="hybridMultilevel"/>
    <w:lvl w:ilvl="0" w15:tentative="1">
      <w:start w:val="1"/>
      <w:numFmt w:val="decimal"/>
      <w:lvlText w:val="%1."/>
      <w:lvlJc w:val="left"/>
      <w:pPr>
        <w:ind w:left="720" w:hanging="360"/>
      </w:pPr>
    </w:lvl>
    <w:lvl w:ilvl="1" w15:tentative="1">
      <w:start w:val="1"/>
      <w:numFmt w:val="lowerLetter"/>
      <w:lvlText w:val="%2."/>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320"/>
      <w:outlineLvl w:val="0"/>
    </w:pPr>
    <w:rPr>
      <w:rFonts w:ascii="Calibri" w:cs="Calibri" w:eastAsia="Calibri" w:hAnsi="Calibri"/>
      <w:b/>
      <w:bCs/>
      <w:color w:val="1F4E79"/>
      <w:sz w:val="32"/>
      <w:szCs w:val="32"/>
    </w:rPr>
  </w:style>
  <w:style w:type="paragraph" w:styleId="Heading2">
    <w:name w:val="Heading 2"/>
    <w:basedOn w:val="Normal"/>
    <w:next w:val="Normal"/>
    <w:qFormat/>
    <w:pPr>
      <w:spacing w:after="140" w:before="240"/>
      <w:outlineLvl w:val="1"/>
    </w:pPr>
    <w:rPr>
      <w:rFonts w:ascii="Calibri" w:cs="Calibri" w:eastAsia="Calibri" w:hAnsi="Calibri"/>
      <w:b/>
      <w:bCs/>
      <w:color w:val="1F4E79"/>
      <w:sz w:val="26"/>
      <w:szCs w:val="26"/>
    </w:rPr>
  </w:style>
  <w:style w:type="paragraph" w:styleId="Heading3">
    <w:name w:val="Heading 3"/>
    <w:basedOn w:val="Normal"/>
    <w:next w:val="Normal"/>
    <w:qFormat/>
    <w:pPr>
      <w:spacing w:after="120" w:before="200"/>
      <w:outlineLvl w:val="2"/>
    </w:pPr>
    <w:rPr>
      <w:rFonts w:ascii="Calibri" w:cs="Calibri" w:eastAsia="Calibri" w:hAnsi="Calibri"/>
      <w:b/>
      <w:bCs/>
      <w:color w:val="2E75B6"/>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2026-05-26T10:55:38.833Z</dcterms:created>
  <dcterms:modified xsi:type="dcterms:W3CDTF">2026-05-26T10:55:38.833Z</dcterms:modified>
</cp:coreProperties>
</file>

<file path=docProps/custom.xml><?xml version="1.0" encoding="utf-8"?>
<Properties xmlns="http://schemas.openxmlformats.org/officeDocument/2006/custom-properties" xmlns:vt="http://schemas.openxmlformats.org/officeDocument/2006/docPropsVTypes"/>
</file>