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200"/>
        <w:jc w:val="center"/>
      </w:pPr>
      <w:r>
        <w:rPr>
          <w:b/>
          <w:bCs/>
          <w:color w:val="1F4E79"/>
          <w:sz w:val="36"/>
          <w:szCs w:val="36"/>
        </w:rPr>
        <w:t xml:space="preserve">§172.800(a) Security Plan Self-Assessment Worksheet</w:t>
      </w:r>
    </w:p>
    <w:p>
      <w:pPr>
        <w:spacing w:after="80"/>
        <w:jc w:val="center"/>
      </w:pPr>
      <w:r>
        <w:rPr>
          <w:i/>
          <w:iCs/>
          <w:color w:val="595959"/>
          <w:sz w:val="22"/>
          <w:szCs w:val="22"/>
        </w:rPr>
        <w:t xml:space="preserve">Pre-purchase tool — determine whether your company needs an In-Depth Security training</w:t>
      </w:r>
    </w:p>
    <w:p>
      <w:pPr>
        <w:spacing w:after="200"/>
        <w:jc w:val="center"/>
      </w:pPr>
      <w:r>
        <w:rPr>
          <w:b/>
          <w:bCs/>
          <w:color w:val="2E75B6"/>
          <w:sz w:val="20"/>
          <w:szCs w:val="20"/>
        </w:rPr>
        <w:t xml:space="preserve">49 CFR §172.800  ·  Use BEFORE enrolling your team in HazMat In-Depth Security (Add-On 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4E79" w:sz="16"/>
              <w:left w:val="single" w:color="1F4E79" w:sz="16"/>
              <w:bottom w:val="single" w:color="1F4E79" w:sz="16"/>
              <w:right w:val="single" w:color="1F4E79" w:sz="16"/>
            </w:tcBorders>
            <w:shd w:fill="DEEAF6" w:val="clear"/>
            <w:tcMar>
              <w:top w:type="dxa" w:w="200"/>
              <w:left w:type="dxa" w:w="240"/>
              <w:bottom w:type="dxa" w:w="200"/>
              <w:right w:type="dxa" w:w="240"/>
            </w:tcMar>
          </w:tcPr>
          <w:p>
            <w:pPr>
              <w:spacing w:after="120"/>
            </w:pPr>
            <w:r>
              <w:rPr>
                <w:b/>
                <w:bCs/>
                <w:color w:val="1F4E79"/>
              </w:rPr>
              <w:t xml:space="preserve">Why this worksheet exists. </w:t>
            </w:r>
            <w:r>
              <w:t xml:space="preserve">Most hazmat employers do not need to maintain a written security plan and do not need In-Depth Security training. The Core Bundle's Module 4 (Security Awareness, §172.704(a)(4)) covers nearly all hazmat employees. The In-Depth Security Add-On (§172.704(a)(5)) is required only when your company is subject to a written security plan under §172.800. Walk these three questions to find out — in writing — whether that applies. Keep the completed worksheet on file as your §172.800(a) self-assessment record.</w:t>
            </w:r>
          </w:p>
        </w:tc>
      </w:tr>
    </w:tbl>
    <w:p>
      <w:pPr>
        <w:spacing w:after="240"/>
      </w:pPr>
      <w:r>
        <w:t xml:space="preserve"/>
      </w:r>
    </w:p>
    <w:p>
      <w:pPr>
        <w:pStyle w:val="Heading1"/>
        <w:spacing w:after="180" w:before="300"/>
      </w:pPr>
      <w:r>
        <w:rPr>
          <w:b/>
          <w:bCs/>
        </w:rPr>
        <w:t xml:space="preserve">How to use this worksheet</w:t>
      </w:r>
    </w:p>
    <w:p>
      <w:pPr>
        <w:pStyle w:val="ListParagraph"/>
        <w:numPr>
          <w:ilvl w:val="0"/>
          <w:numId w:val="2"/>
        </w:numPr>
        <w:spacing w:after="80"/>
      </w:pPr>
      <w:r>
        <w:t xml:space="preserve">Work the three questions in order. Stop at the first question where the answer takes you out of §172.800 scope.</w:t>
      </w:r>
    </w:p>
    <w:p>
      <w:pPr>
        <w:pStyle w:val="ListParagraph"/>
        <w:numPr>
          <w:ilvl w:val="0"/>
          <w:numId w:val="2"/>
        </w:numPr>
        <w:spacing w:after="80"/>
      </w:pPr>
      <w:r>
        <w:t xml:space="preserve">Answer in writing — auditors expect a documented self-assessment, not a memory.</w:t>
      </w:r>
    </w:p>
    <w:p>
      <w:pPr>
        <w:pStyle w:val="ListParagraph"/>
        <w:numPr>
          <w:ilvl w:val="0"/>
          <w:numId w:val="2"/>
        </w:numPr>
        <w:spacing w:after="80"/>
      </w:pPr>
      <w:r>
        <w:t xml:space="preserve">Date and sign at the bottom; route to the compliance manager for retention.</w:t>
      </w:r>
    </w:p>
    <w:p>
      <w:pPr>
        <w:pStyle w:val="ListParagraph"/>
        <w:numPr>
          <w:ilvl w:val="0"/>
          <w:numId w:val="2"/>
        </w:numPr>
        <w:spacing w:after="80"/>
      </w:pPr>
      <w:r>
        <w:t xml:space="preserve">Re-do the assessment annually, or whenever your shipping mix or operations change materially.</w:t>
      </w:r>
    </w:p>
    <w:p>
      <w:pPr>
        <w:pStyle w:val="Heading1"/>
        <w:spacing w:after="180" w:before="300"/>
      </w:pPr>
      <w:r>
        <w:rPr>
          <w:b/>
          <w:bCs/>
        </w:rPr>
        <w:t xml:space="preserve">Question 1 — Do you offer for transport or transport one or more §172.800(b) trigger materials?</w:t>
      </w:r>
    </w:p>
    <w:p>
      <w:pPr>
        <w:spacing w:after="120"/>
      </w:pPr>
      <w:r>
        <w:t xml:space="preserve">Check each row your company touches in commerce. If NONE are checked, §172.800 does NOT apply — skip to the conclusion section. If ANY are checked, continue to Question 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Division 1.1, 1.2, or 1.3 explosives — any quantity</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Division 1.4 quantities greater than 25 kg net explosive mass</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Division 1.5 or 1.6 in excess of 4,536 kg</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Division 2.1 flammable gas in bulk packaging (&gt;13,247 L water capacity)</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Division 2.2 oxygen in bulk packaging</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Division 2.3 toxic gases (PIH) in cargo tanks — any quantity in cargo tank</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Class 3 flammable liquids in bulk packaging (&gt;13,247 L water capacity)</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Division 4.1, 4.2, or 4.3 in cargo tank &gt; 3,000 kg</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Division 5.1 or 5.2 in cargo tank &gt; 3,000 kg / 3,000 L (single packaging)</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Division 6.1 toxic-by-inhalation (PIH) materials at the thresholds in §173.116 / §173.133</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Category A infectious substance (Division 6.2) — any quantity (UN2814, UN2900)</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Class 7 Highway Route Controlled Quantity (HRCQ) radioactives per §173.403</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Class 8 corrosive in bulk packaging &gt; 3,000 kg or &gt; 3,000 L</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Class 9 elevated-temperature material or environmentally hazardous substance in bulk &gt; 3,000 kg / 3,000 L</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Ammonium nitrate at the placarding quantity (fertilizer-grade per §172.800(b)(12); explosive-grade per §172.800(b)(10))</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ANY hazmat — single packaging — greater than 3,000 kg solid or 3,000 L liquid</w:t>
            </w:r>
          </w:p>
        </w:tc>
      </w:tr>
    </w:tbl>
    <w:p>
      <w:pPr>
        <w:spacing w:after="200"/>
      </w:pPr>
      <w:r>
        <w:t xml:space="preserve"/>
      </w:r>
    </w:p>
    <w:p>
      <w:pPr>
        <w:spacing w:after="120"/>
      </w:pPr>
      <w:r>
        <w:t xml:space="preserve">Note: this list paraphrases §172.800(b) for quick scanning. Always verify against the eCFR — the exact thresholds and definitions are in the regulation, including special rules for single-packaging quantities.</w:t>
      </w:r>
    </w:p>
    <w:p>
      <w:pPr>
        <w:pStyle w:val="Heading1"/>
        <w:spacing w:after="180" w:before="300"/>
      </w:pPr>
      <w:r>
        <w:rPr>
          <w:b/>
          <w:bCs/>
        </w:rPr>
        <w:t xml:space="preserve">Question 2 — Does any §172.800(c) carve-out apply to your operation?</w:t>
      </w:r>
    </w:p>
    <w:p>
      <w:pPr>
        <w:spacing w:after="120"/>
      </w:pPr>
      <w:r>
        <w:t xml:space="preserve">If YES to any of these, the §172.800 plan obligation may not apply to those activities. Document the basis in writing in Section D below. If you check any of these, you may STOP — but document carefully, because auditors test the carve-out claim.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Farmer exception — agricultural use under §172.800(c) — describe basis below</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Specific quantity exemption applies — cite the exact regulation paragraph</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Material in commerce only as a limited quantity per Part 173 (verify limited-quantity does not still trigger §172.800 for your specific material)</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None of these apply — proceed to Question 3</w:t>
            </w:r>
          </w:p>
        </w:tc>
      </w:tr>
    </w:tbl>
    <w:p>
      <w:pPr>
        <w:spacing w:after="200"/>
      </w:pPr>
      <w:r>
        <w:t xml:space="preserve"/>
      </w:r>
    </w:p>
    <w:p>
      <w:pPr>
        <w:pStyle w:val="Heading1"/>
        <w:spacing w:after="180" w:before="300"/>
      </w:pPr>
      <w:r>
        <w:rPr>
          <w:b/>
          <w:bCs/>
        </w:rPr>
        <w:t xml:space="preserve">Question 3 — Do you have a written §172.802 security plan AND a documented self-assessment?</w:t>
      </w:r>
    </w:p>
    <w:p>
      <w:pPr>
        <w:spacing w:after="120"/>
      </w:pPr>
      <w:r>
        <w:t xml:space="preserve">Check both that apply.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Yes — current written security plan exists and addresses §172.802(a)(1), (a)(2), and (a)(3)</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Yes — written §172.800(a) self-assessment is on file (this worksheet, plus an analytical narrative)</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Yes — plan reviewed within the last 12 months per §172.802(b)</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No — one or more of the above is missing; you have a compliance gap to close BEFORE training your team</w:t>
            </w:r>
          </w:p>
        </w:tc>
      </w:tr>
    </w:tbl>
    <w:p>
      <w:pPr>
        <w:spacing w:after="200"/>
      </w:pPr>
      <w:r>
        <w:t xml:space="preserve"/>
      </w:r>
    </w:p>
    <w:p>
      <w:pPr>
        <w:pStyle w:val="Heading1"/>
        <w:spacing w:after="180" w:before="300"/>
      </w:pPr>
      <w:r>
        <w:rPr>
          <w:b/>
          <w:bCs/>
        </w:rPr>
        <w:t xml:space="preserve">Section D. Conclusion — what this means for your training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If your answers are...</w:t>
            </w:r>
          </w:p>
        </w:tc>
        <w:tc>
          <w:tcPr>
            <w:tcW w:type="dxa" w:w="624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Then...</w:t>
            </w:r>
          </w:p>
        </w:tc>
      </w:tr>
      <w:tr>
        <w:tc>
          <w:tcPr>
            <w:tcW w:type="dxa" w:w="312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Q1 = none checked</w:t>
            </w:r>
          </w:p>
        </w:tc>
        <w:tc>
          <w:tcPr>
            <w:tcW w:type="dxa" w:w="624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§172.800 does not apply. Module 4 (Security Awareness) in the Core Bundle is sufficient for your team's security obligation. Do NOT purchase the In-Depth Security Add-On.</w:t>
            </w:r>
          </w:p>
        </w:tc>
      </w:tr>
      <w:tr>
        <w:tc>
          <w:tcPr>
            <w:tcW w:type="dxa" w:w="312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Q1 = checked but Q2 = carve-out applies</w:t>
            </w:r>
          </w:p>
        </w:tc>
        <w:tc>
          <w:tcPr>
            <w:tcW w:type="dxa" w:w="624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§172.800 may not apply for those specific activities. Document the basis carefully. Module 4 covers your team. Save this worksheet — auditors will ask to see it.</w:t>
            </w:r>
          </w:p>
        </w:tc>
      </w:tr>
      <w:tr>
        <w:tc>
          <w:tcPr>
            <w:tcW w:type="dxa" w:w="312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Q1 = checked, Q2 = no carve-out, Q3 = yes to plan + self-assessment</w:t>
            </w:r>
          </w:p>
        </w:tc>
        <w:tc>
          <w:tcPr>
            <w:tcW w:type="dxa" w:w="624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§172.800 applies. Every covered hazmat employee needs In-Depth Security training under §172.704(a)(5) — enroll your team in the Add-On. Continue maintaining the plan under §172.802(b).</w:t>
            </w:r>
          </w:p>
        </w:tc>
      </w:tr>
      <w:tr>
        <w:tc>
          <w:tcPr>
            <w:tcW w:type="dxa" w:w="3120"/>
            <w:tcBorders>
              <w:top w:val="single" w:color="BFBFBF" w:sz="1"/>
              <w:left w:val="single" w:color="BFBFBF" w:sz="1"/>
              <w:bottom w:val="single" w:color="BFBFBF" w:sz="1"/>
              <w:right w:val="single" w:color="BFBFBF" w:sz="1"/>
            </w:tcBorders>
            <w:shd w:fill="F4B084" w:val="clear"/>
            <w:tcMar>
              <w:top w:type="dxa" w:w="100"/>
              <w:left w:type="dxa" w:w="140"/>
              <w:bottom w:type="dxa" w:w="100"/>
              <w:right w:type="dxa" w:w="140"/>
            </w:tcMar>
            <w:vAlign w:val="center"/>
          </w:tcPr>
          <w:p>
            <w:r>
              <w:rPr>
                <w:b/>
                <w:bCs/>
                <w:sz w:val="20"/>
                <w:szCs w:val="20"/>
              </w:rPr>
              <w:t xml:space="preserve">Q1 = checked, Q2 = no, Q3 = NO (gap exists)</w:t>
            </w:r>
          </w:p>
        </w:tc>
        <w:tc>
          <w:tcPr>
            <w:tcW w:type="dxa" w:w="624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STOP. You have a plan gap. §172.800 applies to your company but you do not have a compliant plan in place. Address the plan first; In-Depth Security training without a plan to walk is not meaningful. Reach out for plan-development support.</w:t>
            </w:r>
          </w:p>
        </w:tc>
      </w:tr>
    </w:tbl>
    <w:p>
      <w:pPr>
        <w:spacing w:after="200"/>
      </w:pPr>
      <w:r>
        <w:t xml:space="preserve"/>
      </w:r>
    </w:p>
    <w:p>
      <w:pPr>
        <w:pStyle w:val="Heading1"/>
        <w:spacing w:after="180" w:before="300"/>
      </w:pPr>
      <w:r>
        <w:rPr>
          <w:b/>
          <w:bCs/>
        </w:rPr>
        <w:t xml:space="preserve">Section E. Documentation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Company legal name</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USDOT number</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Assessment conducted by</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Title</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Date of assessment</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Date of next scheduled review</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bl>
    <w:p>
      <w:pPr>
        <w:spacing w:after="200"/>
      </w:pPr>
      <w:r>
        <w:t xml:space="preserve"/>
      </w:r>
    </w:p>
    <w:p>
      <w:pPr>
        <w:pStyle w:val="Heading2"/>
        <w:spacing w:after="140" w:before="240"/>
      </w:pPr>
      <w:r>
        <w:rPr>
          <w:b/>
          <w:bCs/>
        </w:rPr>
        <w:t xml:space="preserve">Notes / basis for conclusion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FBFBF" w:sz="1"/>
              <w:left w:val="single" w:color="BFBFBF" w:sz="1"/>
              <w:bottom w:val="single" w:color="BFBFBF" w:sz="1"/>
              <w:right w:val="single" w:color="BFBFBF" w:sz="1"/>
            </w:tcBorders>
            <w:tcMar>
              <w:top w:type="dxa" w:w="140"/>
              <w:left w:type="dxa" w:w="160"/>
              <w:bottom w:type="dxa" w:w="140"/>
              <w:right w:type="dxa" w:w="160"/>
            </w:tcMar>
          </w:tcPr>
          <w:p>
            <w:r>
              <w:t xml:space="preserve"/>
            </w:r>
          </w:p>
          <w:p>
            <w:r>
              <w:t xml:space="preserve"/>
            </w:r>
          </w:p>
          <w:p>
            <w:r>
              <w:t xml:space="preserve"/>
            </w:r>
          </w:p>
          <w:p>
            <w:r>
              <w:t xml:space="preserve"/>
            </w:r>
          </w:p>
          <w:p>
            <w:r>
              <w:t xml:space="preserve"/>
            </w:r>
          </w:p>
        </w:tc>
      </w:tr>
    </w:tbl>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Signature of assessor</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Date signed</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bl>
    <w:p>
      <w:pPr>
        <w:spacing w:after="100" w:before="360"/>
      </w:pPr>
      <w:r>
        <w:rPr>
          <w:b/>
          <w:bCs/>
          <w:color w:val="595959"/>
          <w:sz w:val="16"/>
          <w:szCs w:val="16"/>
        </w:rPr>
        <w:t xml:space="preserve">Disclaimer. </w:t>
      </w:r>
      <w:r>
        <w:rPr>
          <w:i/>
          <w:iCs/>
          <w:color w:val="595959"/>
          <w:sz w:val="16"/>
          <w:szCs w:val="16"/>
        </w:rPr>
        <w:t xml:space="preserve">This document is provided as a compliance aid for customers of DotMotusCompliance Inc. It is not legal advice and does not certify compliance with any federal, state, or local regulation. The hazmat employer or motor carrier is the legally responsible party for compliance and recordkeeping. Always verify the current text of any cited regulation against the eCFR before relying on it. This worksheet is a decision aid. The full text of §172.800(b) and (c) is in the eCFR. Where the trigger thresholds or carve-outs require interpretation specific to your operation, consult qualified counsel or a compliance professional. Save this completed worksheet with your hazmat compliance records.</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4" w:space="4"/>
      </w:pBdr>
      <w:jc w:val="left"/>
    </w:pPr>
    <w:r>
      <w:rPr>
        <w:b/>
        <w:bCs/>
        <w:color w:val="595959"/>
        <w:sz w:val="16"/>
        <w:szCs w:val="16"/>
      </w:rPr>
      <w:t xml:space="preserve">DMC-HM-RES-01</w:t>
    </w:r>
    <w:r>
      <w:rPr>
        <w:color w:val="595959"/>
        <w:sz w:val="16"/>
        <w:szCs w:val="16"/>
      </w:rPr>
      <w:t xml:space="preserve">  ·  Provided for use by paying customers of DotMotusCompliance Inc  ·  </w:t>
    </w:r>
    <w:r>
      <w:rPr>
        <w:color w:val="595959"/>
        <w:sz w:val="16"/>
        <w:szCs w:val="16"/>
      </w:rPr>
      <w:t xml:space="preserve">Page </w:t>
    </w:r>
    <w:r>
      <w:rPr>
        <w:color w:val="595959"/>
        <w:sz w:val="16"/>
        <w:szCs w:val="16"/>
      </w:rPr>
      <w:fldChar w:fldCharType="begin"/>
      <w:instrText xml:space="preserve">PAGE</w:instrText>
      <w:fldChar w:fldCharType="separate"/>
      <w:fldChar w:fldCharType="end"/>
    </w:r>
    <w:r>
      <w:rPr>
        <w:color w:val="595959"/>
        <w:sz w:val="16"/>
        <w:szCs w:val="16"/>
      </w:rPr>
      <w:t xml:space="preserve"> of </w:t>
    </w:r>
    <w:r>
      <w:rPr>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F4E79" w:sz="6" w:space="4"/>
      </w:pBdr>
      <w:jc w:val="left"/>
    </w:pPr>
    <w:r>
      <w:rPr>
        <w:b/>
        <w:bCs/>
        <w:color w:val="1F4E79"/>
        <w:sz w:val="22"/>
        <w:szCs w:val="22"/>
      </w:rPr>
      <w:t xml:space="preserve">DotMotusCompliance Inc</w:t>
    </w:r>
    <w:r>
      <w:rPr>
        <w:color w:val="595959"/>
        <w:sz w:val="18"/>
        <w:szCs w:val="18"/>
      </w:rPr>
      <w:t xml:space="preserve">  ·  Complimentary Compliance Document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abstractNum w:abstractNumId="3" w15:restartNumberingAfterBreak="0">
    <w:multiLevelType w:val="hybridMultilevel"/>
    <w:lvl w:ilvl="0" w15:tentative="1">
      <w:start w:val="1"/>
      <w:numFmt w:val="decimal"/>
      <w:lvlText w:val="%1."/>
      <w:lvlJc w:val="left"/>
      <w:pPr>
        <w:ind w:left="720" w:hanging="360"/>
      </w:pPr>
    </w:lvl>
    <w:lvl w:ilvl="1" w15:tentative="1">
      <w:start w:val="1"/>
      <w:numFmt w:val="lowerLetter"/>
      <w:lvlText w:val="%2."/>
      <w:lvlJc w:val="left"/>
      <w:pPr>
        <w:ind w:left="144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20"/>
      <w:outlineLvl w:val="0"/>
    </w:pPr>
    <w:rPr>
      <w:rFonts w:ascii="Calibri" w:cs="Calibri" w:eastAsia="Calibri" w:hAnsi="Calibri"/>
      <w:b/>
      <w:bCs/>
      <w:color w:val="1F4E79"/>
      <w:sz w:val="32"/>
      <w:szCs w:val="32"/>
    </w:rPr>
  </w:style>
  <w:style w:type="paragraph" w:styleId="Heading2">
    <w:name w:val="Heading 2"/>
    <w:basedOn w:val="Normal"/>
    <w:next w:val="Normal"/>
    <w:qFormat/>
    <w:pPr>
      <w:spacing w:after="140" w:before="240"/>
      <w:outlineLvl w:val="1"/>
    </w:pPr>
    <w:rPr>
      <w:rFonts w:ascii="Calibri" w:cs="Calibri" w:eastAsia="Calibri" w:hAnsi="Calibri"/>
      <w:b/>
      <w:bCs/>
      <w:color w:val="1F4E79"/>
      <w:sz w:val="26"/>
      <w:szCs w:val="26"/>
    </w:rPr>
  </w:style>
  <w:style w:type="paragraph" w:styleId="Heading3">
    <w:name w:val="Heading 3"/>
    <w:basedOn w:val="Normal"/>
    <w:next w:val="Normal"/>
    <w:qFormat/>
    <w:pPr>
      <w:spacing w:after="120" w:before="200"/>
      <w:outlineLvl w:val="2"/>
    </w:pPr>
    <w:rPr>
      <w:rFonts w:ascii="Calibri" w:cs="Calibri" w:eastAsia="Calibri" w:hAnsi="Calibri"/>
      <w:b/>
      <w:bCs/>
      <w:color w:val="2E75B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2026-05-26T10:51:55.603Z</dcterms:created>
  <dcterms:modified xsi:type="dcterms:W3CDTF">2026-05-26T10:51:55.603Z</dcterms:modified>
</cp:coreProperties>
</file>

<file path=docProps/custom.xml><?xml version="1.0" encoding="utf-8"?>
<Properties xmlns="http://schemas.openxmlformats.org/officeDocument/2006/custom-properties" xmlns:vt="http://schemas.openxmlformats.org/officeDocument/2006/docPropsVTypes"/>
</file>