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00"/>
        <w:jc w:val="center"/>
      </w:pPr>
      <w:r>
        <w:rPr>
          <w:b/>
          <w:bCs/>
          <w:color w:val="1F4E79"/>
          <w:sz w:val="36"/>
          <w:szCs w:val="36"/>
        </w:rPr>
        <w:t xml:space="preserve">Employer ELP Attestation Form</w:t>
      </w:r>
    </w:p>
    <w:p>
      <w:pPr>
        <w:spacing w:after="80"/>
        <w:jc w:val="center"/>
      </w:pPr>
      <w:r>
        <w:rPr>
          <w:i/>
          <w:iCs/>
          <w:color w:val="595959"/>
          <w:sz w:val="22"/>
          <w:szCs w:val="22"/>
        </w:rPr>
        <w:t xml:space="preserve">Companion to Proficiency &amp; Roadside Communication (ELP) – Driver Training</w:t>
      </w:r>
    </w:p>
    <w:p>
      <w:pPr>
        <w:spacing w:after="200"/>
        <w:jc w:val="center"/>
      </w:pPr>
      <w:r>
        <w:rPr>
          <w:b/>
          <w:bCs/>
          <w:color w:val="2E75B6"/>
          <w:sz w:val="20"/>
          <w:szCs w:val="20"/>
        </w:rPr>
        <w:t xml:space="preserve">49 CFR §391.11(b)(2)  ·  Filed in the driver's qualification file per §391.51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6"/>
              <w:left w:val="single" w:color="1F4E79" w:sz="16"/>
              <w:bottom w:val="single" w:color="1F4E79" w:sz="16"/>
              <w:right w:val="single" w:color="1F4E79" w:sz="16"/>
            </w:tcBorders>
            <w:shd w:fill="DEEAF6" w:val="clear"/>
            <w:tcMar>
              <w:top w:type="dxa" w:w="200"/>
              <w:left w:type="dxa" w:w="240"/>
              <w:bottom w:type="dxa" w:w="200"/>
              <w:right w:type="dxa" w:w="240"/>
            </w:tcMar>
          </w:tcPr>
          <w:p>
            <w:pPr>
              <w:spacing w:after="120"/>
            </w:pPr>
            <w:r>
              <w:rPr>
                <w:b/>
                <w:bCs/>
                <w:color w:val="1F4E79"/>
              </w:rPr>
              <w:t xml:space="preserve">Purpose of this form. </w:t>
            </w:r>
            <w:r>
              <w:t xml:space="preserve">This form documents the motor carrier's qualification determination that the named driver communicates sufficiently in English to satisfy 49 CFR §391.11(b)(2). The driver's completion of the ELP training course is one input to that determination — not the determination itself. The motor carrier remains the qualification authority under Part 391 Subpart B. This signed form is placed in the driver's qualification file under §391.51 alongside the medical card, road-test certificate, and other qualification documents.</w:t>
            </w:r>
          </w:p>
        </w:tc>
      </w:tr>
    </w:tbl>
    <w:p>
      <w:pPr>
        <w:spacing w:after="240"/>
      </w:pPr>
      <w:r>
        <w:t xml:space="preserve"/>
      </w:r>
    </w:p>
    <w:p>
      <w:pPr>
        <w:pStyle w:val="Heading1"/>
        <w:spacing w:after="180" w:before="300"/>
      </w:pPr>
      <w:r>
        <w:rPr>
          <w:b/>
          <w:bCs/>
        </w:rPr>
        <w:t xml:space="preserve">Section A. Driver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Driver full name (legal name as on CDL)</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Date of birth</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CDL number</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CDL issuing state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CDL class and endorsements</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Date of hire / date driver-qualified</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Section B. Motor carrier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Motor carrier legal name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USDOT number</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MC / FF number (if applicable)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Principal place of business</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Phone / email</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Section C. ELP training course completion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Training course title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Course provider</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Course version completed</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Date of completion</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Quiz score — overall (%)</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Quiz score — sign recognition section</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Quiz score — roadside-officer interaction section</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Quiz score — documentation handling section</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Number of attempts to pass</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Section D. Carrier's ELP assessment basis</w:t>
      </w:r>
    </w:p>
    <w:p>
      <w:pPr>
        <w:spacing w:after="120"/>
      </w:pPr>
      <w:r>
        <w:t xml:space="preserve">The motor carrier's qualification determination under §391.11(b)(2) was informed by the following evidence. Check all that apply.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Pre-employment ELP assessment conducted at hire</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Recurrent driver review during qualification file refresh</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Mock roadside-inspection performance review</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Direct supervisor observation of routine roadside interactions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Documented prior CVSA Level I roadside inspections without ELP findings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Other (describe in Section E)</w:t>
            </w:r>
          </w:p>
        </w:tc>
      </w:tr>
    </w:tbl>
    <w:p>
      <w:pPr>
        <w:spacing w:after="200"/>
      </w:pPr>
      <w:r>
        <w:t xml:space="preserve"/>
      </w:r>
    </w:p>
    <w:p>
      <w:pPr>
        <w:pStyle w:val="Heading1"/>
        <w:spacing w:after="180" w:before="300"/>
      </w:pPr>
      <w:r>
        <w:rPr>
          <w:b/>
          <w:bCs/>
        </w:rPr>
        <w:t xml:space="preserve">Section E. Reviewer notes (optional)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BFBF" w:sz="1"/>
              <w:left w:val="single" w:color="BFBFBF" w:sz="1"/>
              <w:bottom w:val="single" w:color="BFBFBF" w:sz="1"/>
              <w:right w:val="single" w:color="BFBFBF" w:sz="1"/>
            </w:tcBorders>
            <w:tcMar>
              <w:top w:type="dxa" w:w="140"/>
              <w:left w:type="dxa" w:w="160"/>
              <w:bottom w:type="dxa" w:w="140"/>
              <w:right w:type="dxa" w:w="160"/>
            </w:tcMar>
          </w:tcPr>
          <w:p>
            <w:r>
              <w:t xml:space="preserve"/>
            </w:r>
          </w:p>
          <w:p>
            <w:r>
              <w:t xml:space="preserve"/>
            </w:r>
          </w:p>
          <w:p>
            <w:r>
              <w:t xml:space="preserve"/>
            </w:r>
          </w:p>
          <w:p>
            <w:r>
              <w:t xml:space="preserve"/>
            </w:r>
          </w:p>
        </w:tc>
      </w:tr>
    </w:tbl>
    <w:p>
      <w:pPr>
        <w:spacing w:after="200"/>
      </w:pPr>
      <w:r>
        <w:t xml:space="preserve"/>
      </w:r>
    </w:p>
    <w:p>
      <w:pPr>
        <w:pStyle w:val="Heading1"/>
        <w:spacing w:after="180" w:before="300"/>
      </w:pPr>
      <w:r>
        <w:rPr>
          <w:b/>
          <w:bCs/>
        </w:rPr>
        <w:t xml:space="preserve">Section F. Carrier attestation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6"/>
              <w:left w:val="single" w:color="1F4E79" w:sz="16"/>
              <w:bottom w:val="single" w:color="1F4E79" w:sz="16"/>
              <w:right w:val="single" w:color="1F4E79" w:sz="16"/>
            </w:tcBorders>
            <w:shd w:fill="DEEAF6" w:val="clear"/>
            <w:tcMar>
              <w:top w:type="dxa" w:w="200"/>
              <w:left w:type="dxa" w:w="240"/>
              <w:bottom w:type="dxa" w:w="200"/>
              <w:right w:type="dxa" w:w="240"/>
            </w:tcMar>
          </w:tcPr>
          <w:p>
            <w:pPr>
              <w:spacing w:after="0"/>
            </w:pPr>
            <w:r>
              <w:rPr>
                <w:b/>
                <w:bCs/>
                <w:color w:val="1F4E79"/>
              </w:rPr>
              <w:t xml:space="preserve">Attestation statement.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BFBF" w:sz="1"/>
              <w:left w:val="single" w:color="BFBFBF" w:sz="1"/>
              <w:bottom w:val="single" w:color="BFBFBF" w:sz="1"/>
              <w:right w:val="single" w:color="BFBFBF" w:sz="1"/>
            </w:tcBorders>
            <w:shd w:fill="F2F2F2" w:val="clear"/>
            <w:tcMar>
              <w:top w:type="dxa" w:w="160"/>
              <w:left w:type="dxa" w:w="200"/>
              <w:bottom w:type="dxa" w:w="160"/>
              <w:right w:type="dxa" w:w="200"/>
            </w:tcMar>
          </w:tcPr>
          <w:p>
            <w:pPr>
              <w:spacing w:after="120"/>
            </w:pPr>
            <w:r>
              <w:rPr>
                <w:i/>
                <w:iCs/>
              </w:rPr>
              <w:t xml:space="preserve">I, the undersigned reviewer, have reviewed the named driver's completion of the English Language Proficiency training course identified in Section C and have determined, in conjunction with the assessment basis indicated in Section D, that the driver communicates sufficiently in English to satisfy 49 CFR §391.11(b)(2). Specifically, that the driver can: (i) understand traffic signs and signals in the English language; (ii) respond to official inquiries from law enforcement and roadside-inspection officers; (iii) make entries on reports and records as required; and (iv) converse with the general public in the course of safe operation of a commercial motor vehicle.</w:t>
            </w:r>
          </w:p>
          <w:p>
            <w:pPr>
              <w:spacing w:after="0"/>
            </w:pPr>
            <w:r>
              <w:rPr>
                <w:i/>
                <w:iCs/>
              </w:rPr>
              <w:t xml:space="preserve">This attestation is placed in the driver's qualification file under 49 CFR §391.51 and is retained for the duration of the driver's employment plus three years after termination per the §391.51 retention schedule. The driver's completion of the underlying training course is not, by itself, a federal driver-qualification document; the qualification determination remains with the motor carrier under 49 CFR Part 391, Subpart B.</w:t>
            </w:r>
          </w:p>
        </w:tc>
      </w:tr>
    </w:tbl>
    <w:p>
      <w:pPr>
        <w:spacing w:after="240"/>
      </w:pPr>
      <w:r>
        <w:t xml:space="preserve"/>
      </w:r>
    </w:p>
    <w:p>
      <w:pPr>
        <w:pStyle w:val="Heading1"/>
        <w:spacing w:after="180" w:before="300"/>
      </w:pPr>
      <w:r>
        <w:rPr>
          <w:b/>
          <w:bCs/>
        </w:rPr>
        <w:t xml:space="preserve">Section G. Reviewer signature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Reviewer full name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Reviewer title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Reviewer signature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Date of attestation</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200"/>
      </w:pPr>
      <w:r>
        <w:t xml:space="preserve"/>
      </w:r>
    </w:p>
    <w:p>
      <w:pPr>
        <w:pStyle w:val="Heading2"/>
        <w:spacing w:after="140" w:before="240"/>
      </w:pPr>
      <w:r>
        <w:rPr>
          <w:b/>
          <w:bCs/>
        </w:rPr>
        <w:t xml:space="preserve">Filing notes</w:t>
      </w:r>
    </w:p>
    <w:p>
      <w:pPr>
        <w:pStyle w:val="ListParagraph"/>
        <w:numPr>
          <w:ilvl w:val="0"/>
          <w:numId w:val="2"/>
        </w:numPr>
        <w:spacing w:after="80"/>
      </w:pPr>
      <w:r>
        <w:t xml:space="preserve">Place the signed original in the driver's qualification file under §391.51 immediately on signature.</w:t>
      </w:r>
    </w:p>
    <w:p>
      <w:pPr>
        <w:pStyle w:val="ListParagraph"/>
        <w:numPr>
          <w:ilvl w:val="0"/>
          <w:numId w:val="2"/>
        </w:numPr>
        <w:spacing w:after="80"/>
      </w:pPr>
      <w:r>
        <w:t xml:space="preserve">Provide a copy to the driver on request.</w:t>
      </w:r>
    </w:p>
    <w:p>
      <w:pPr>
        <w:pStyle w:val="ListParagraph"/>
        <w:numPr>
          <w:ilvl w:val="0"/>
          <w:numId w:val="2"/>
        </w:numPr>
        <w:spacing w:after="80"/>
      </w:pPr>
      <w:r>
        <w:t xml:space="preserve">Re-execute this attestation if the driver returns to duty after a break in employment of more than the period specified in your company's qualification-file refresh policy, or if the carrier's qualification reviewer has reason to revisit the §391.11(b)(2) determination.</w:t>
      </w:r>
    </w:p>
    <w:p>
      <w:pPr>
        <w:pStyle w:val="ListParagraph"/>
        <w:numPr>
          <w:ilvl w:val="0"/>
          <w:numId w:val="2"/>
        </w:numPr>
        <w:spacing w:after="80"/>
      </w:pPr>
      <w:r>
        <w:t xml:space="preserve">Retain for the duration of employment plus three years per the §391.51 retention schedule.</w:t>
      </w:r>
    </w:p>
    <w:p>
      <w:pPr>
        <w:spacing w:after="100" w:before="360"/>
      </w:pPr>
      <w:r>
        <w:rPr>
          <w:b/>
          <w:bCs/>
          <w:color w:val="595959"/>
          <w:sz w:val="16"/>
          <w:szCs w:val="16"/>
        </w:rPr>
        <w:t xml:space="preserve">Disclaimer. </w:t>
      </w:r>
      <w:r>
        <w:rPr>
          <w:i/>
          <w:iCs/>
          <w:color w:val="595959"/>
          <w:sz w:val="16"/>
          <w:szCs w:val="16"/>
        </w:rPr>
        <w:t xml:space="preserve">This document is provided as a compliance aid for customers of DotMotusCompliance Inc. It is not legal advice and does not certify compliance with any federal, state, or local regulation. The hazmat employer or motor carrier is the legally responsible party for compliance and recordkeeping. Always verify the current text of any cited regulation against the eCFR before relying on it. §391.11(b)(2) qualification determination authority rests with the motor carrier. This form documents the determination; it does not make the determination on the carrier's behalf. Confirm current §391.11 and §391.51 text against the eCFR.</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4"/>
      </w:pBdr>
      <w:jc w:val="left"/>
    </w:pPr>
    <w:r>
      <w:rPr>
        <w:b/>
        <w:bCs/>
        <w:color w:val="595959"/>
        <w:sz w:val="16"/>
        <w:szCs w:val="16"/>
      </w:rPr>
      <w:t xml:space="preserve">DMC-ELP-01</w:t>
    </w:r>
    <w:r>
      <w:rPr>
        <w:color w:val="595959"/>
        <w:sz w:val="16"/>
        <w:szCs w:val="16"/>
      </w:rPr>
      <w:t xml:space="preserve">  ·  Provided for use by paying customers of DotMotusCompliance Inc  ·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jc w:val="left"/>
    </w:pPr>
    <w:r>
      <w:rPr>
        <w:b/>
        <w:bCs/>
        <w:color w:val="1F4E79"/>
        <w:sz w:val="22"/>
        <w:szCs w:val="22"/>
      </w:rPr>
      <w:t xml:space="preserve">DotMotusCompliance Inc</w:t>
    </w:r>
    <w:r>
      <w:rPr>
        <w:color w:val="595959"/>
        <w:sz w:val="18"/>
        <w:szCs w:val="18"/>
      </w:rPr>
      <w:t xml:space="preserve">  ·  Complimentary Compliance Document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abstractNum w:abstractNumId="3" w15:restartNumberingAfterBreak="0">
    <w:multiLevelType w:val="hybridMultilevel"/>
    <w:lvl w:ilvl="0" w15:tentative="1">
      <w:start w:val="1"/>
      <w:numFmt w:val="decimal"/>
      <w:lvlText w:val="%1."/>
      <w:lvlJc w:val="left"/>
      <w:pPr>
        <w:ind w:left="720" w:hanging="360"/>
      </w:pPr>
    </w:lvl>
    <w:lvl w:ilvl="1" w15:tentative="1">
      <w:start w:val="1"/>
      <w:numFmt w:val="lowerLetter"/>
      <w:lvlText w:val="%2."/>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20"/>
      <w:outlineLvl w:val="0"/>
    </w:pPr>
    <w:rPr>
      <w:rFonts w:ascii="Calibri" w:cs="Calibri" w:eastAsia="Calibri" w:hAnsi="Calibri"/>
      <w:b/>
      <w:bCs/>
      <w:color w:val="1F4E79"/>
      <w:sz w:val="32"/>
      <w:szCs w:val="32"/>
    </w:rPr>
  </w:style>
  <w:style w:type="paragraph" w:styleId="Heading2">
    <w:name w:val="Heading 2"/>
    <w:basedOn w:val="Normal"/>
    <w:next w:val="Normal"/>
    <w:qFormat/>
    <w:pPr>
      <w:spacing w:after="140" w:before="240"/>
      <w:outlineLvl w:val="1"/>
    </w:pPr>
    <w:rPr>
      <w:rFonts w:ascii="Calibri" w:cs="Calibri" w:eastAsia="Calibri" w:hAnsi="Calibri"/>
      <w:b/>
      <w:bCs/>
      <w:color w:val="1F4E79"/>
      <w:sz w:val="26"/>
      <w:szCs w:val="26"/>
    </w:rPr>
  </w:style>
  <w:style w:type="paragraph" w:styleId="Heading3">
    <w:name w:val="Heading 3"/>
    <w:basedOn w:val="Normal"/>
    <w:next w:val="Normal"/>
    <w:qFormat/>
    <w:pPr>
      <w:spacing w:after="120" w:before="20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2026-05-26T10:46:18.235Z</dcterms:created>
  <dcterms:modified xsi:type="dcterms:W3CDTF">2026-05-26T10:46:18.236Z</dcterms:modified>
</cp:coreProperties>
</file>

<file path=docProps/custom.xml><?xml version="1.0" encoding="utf-8"?>
<Properties xmlns="http://schemas.openxmlformats.org/officeDocument/2006/custom-properties" xmlns:vt="http://schemas.openxmlformats.org/officeDocument/2006/docPropsVTypes"/>
</file>